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2743" w14:textId="3B2F9925" w:rsidR="00DF72A3" w:rsidRDefault="00DF72A3" w:rsidP="00957120">
      <w:pPr>
        <w:pStyle w:val="Title"/>
        <w:rPr>
          <w:rFonts w:eastAsia="Times New Roman"/>
          <w:lang w:val="en-US"/>
        </w:rPr>
      </w:pPr>
    </w:p>
    <w:p w14:paraId="2C12E9DF" w14:textId="09F9A349" w:rsidR="00005999" w:rsidRDefault="00005999" w:rsidP="00957120">
      <w:pPr>
        <w:spacing w:after="0"/>
        <w:rPr>
          <w:lang w:val="en-US" w:eastAsia="en-US"/>
        </w:rPr>
      </w:pPr>
    </w:p>
    <w:p w14:paraId="48F9D886" w14:textId="77777777" w:rsidR="00005999" w:rsidRPr="00005999" w:rsidRDefault="00005999" w:rsidP="00957120">
      <w:pPr>
        <w:spacing w:after="0"/>
        <w:rPr>
          <w:lang w:val="en-US" w:eastAsia="en-US"/>
        </w:rPr>
      </w:pPr>
    </w:p>
    <w:p w14:paraId="06A79B27" w14:textId="00DD27D1" w:rsidR="001E6520" w:rsidRPr="008E4865" w:rsidRDefault="001E6520" w:rsidP="00957120">
      <w:pPr>
        <w:pStyle w:val="Title"/>
        <w:rPr>
          <w:rFonts w:eastAsia="Times New Roman"/>
          <w:color w:val="auto"/>
          <w:sz w:val="56"/>
          <w:lang w:val="en-US"/>
        </w:rPr>
      </w:pPr>
      <w:r w:rsidRPr="008E4865">
        <w:rPr>
          <w:rFonts w:eastAsia="Times New Roman"/>
          <w:color w:val="auto"/>
          <w:sz w:val="56"/>
          <w:lang w:val="en-US"/>
        </w:rPr>
        <w:t>UNIVERSITY OF STIRLING</w:t>
      </w:r>
    </w:p>
    <w:p w14:paraId="66F7E176" w14:textId="77777777" w:rsidR="001E6520" w:rsidRPr="008E4865" w:rsidRDefault="001E6520" w:rsidP="00957120">
      <w:pPr>
        <w:spacing w:after="0"/>
        <w:jc w:val="both"/>
        <w:rPr>
          <w:sz w:val="56"/>
          <w:szCs w:val="56"/>
          <w:lang w:val="en-US"/>
        </w:rPr>
      </w:pPr>
    </w:p>
    <w:p w14:paraId="4E9151D8" w14:textId="77777777" w:rsidR="001E6520" w:rsidRPr="008E4865" w:rsidRDefault="001E6520" w:rsidP="00957120">
      <w:pPr>
        <w:spacing w:after="0"/>
        <w:jc w:val="both"/>
        <w:rPr>
          <w:rFonts w:eastAsia="Times New Roman" w:cstheme="minorHAnsi"/>
          <w:b/>
          <w:bCs/>
          <w:position w:val="-1"/>
          <w:sz w:val="56"/>
          <w:szCs w:val="56"/>
          <w:lang w:val="en-US"/>
        </w:rPr>
      </w:pPr>
    </w:p>
    <w:p w14:paraId="493BA1C3" w14:textId="6901BEDA" w:rsidR="000417FC" w:rsidRPr="008E4865" w:rsidRDefault="00062A78" w:rsidP="00957120">
      <w:pPr>
        <w:pStyle w:val="Title"/>
        <w:rPr>
          <w:rFonts w:asciiTheme="minorHAnsi" w:eastAsia="Times New Roman" w:hAnsiTheme="minorHAnsi"/>
          <w:color w:val="auto"/>
          <w:spacing w:val="0"/>
          <w:kern w:val="0"/>
          <w:sz w:val="56"/>
          <w:lang w:val="en-US"/>
        </w:rPr>
      </w:pPr>
      <w:r w:rsidRPr="008E4865">
        <w:rPr>
          <w:rFonts w:eastAsia="Times New Roman"/>
          <w:color w:val="auto"/>
          <w:sz w:val="56"/>
          <w:lang w:val="en-US"/>
        </w:rPr>
        <w:t xml:space="preserve">CRIMINAL CONVICTIONS </w:t>
      </w:r>
      <w:r w:rsidR="00571A5C" w:rsidRPr="008E4865">
        <w:rPr>
          <w:rFonts w:eastAsia="Times New Roman"/>
          <w:color w:val="auto"/>
          <w:sz w:val="56"/>
          <w:lang w:val="en-US"/>
        </w:rPr>
        <w:t>POLICY</w:t>
      </w:r>
      <w:r w:rsidR="00773162" w:rsidRPr="008E4865">
        <w:rPr>
          <w:rFonts w:eastAsia="Times New Roman"/>
          <w:color w:val="auto"/>
          <w:sz w:val="56"/>
          <w:lang w:val="en-US"/>
        </w:rPr>
        <w:t xml:space="preserve"> AND PROCEDURE</w:t>
      </w:r>
    </w:p>
    <w:p w14:paraId="24119BBD" w14:textId="4FD4F318" w:rsidR="001E6520" w:rsidRPr="00957120" w:rsidRDefault="001E6520" w:rsidP="00957120">
      <w:pPr>
        <w:pStyle w:val="Title"/>
        <w:rPr>
          <w:rFonts w:eastAsia="Times New Roman"/>
          <w:sz w:val="56"/>
          <w:lang w:val="en-US"/>
        </w:rPr>
      </w:pPr>
    </w:p>
    <w:p w14:paraId="529068B1" w14:textId="603DC390" w:rsidR="001E6520" w:rsidRPr="002A1886" w:rsidRDefault="001E6520" w:rsidP="00957120">
      <w:pPr>
        <w:spacing w:after="0"/>
        <w:jc w:val="both"/>
        <w:rPr>
          <w:color w:val="595959" w:themeColor="text1" w:themeTint="A6"/>
        </w:rPr>
      </w:pPr>
    </w:p>
    <w:p w14:paraId="3C845E67" w14:textId="3D266F42" w:rsidR="00EB50BF" w:rsidRPr="002A1886" w:rsidRDefault="00EB50BF" w:rsidP="00957120">
      <w:pPr>
        <w:spacing w:after="0"/>
        <w:jc w:val="both"/>
        <w:rPr>
          <w:color w:val="595959" w:themeColor="text1" w:themeTint="A6"/>
        </w:rPr>
      </w:pPr>
    </w:p>
    <w:p w14:paraId="068708A7" w14:textId="0563A1B3" w:rsidR="00EB50BF" w:rsidRPr="002A1886" w:rsidRDefault="00EB50BF" w:rsidP="00957120">
      <w:pPr>
        <w:spacing w:after="0"/>
        <w:jc w:val="both"/>
        <w:rPr>
          <w:color w:val="595959" w:themeColor="text1" w:themeTint="A6"/>
        </w:rPr>
      </w:pPr>
    </w:p>
    <w:p w14:paraId="4747D7FA" w14:textId="02CD1D2B" w:rsidR="00EB50BF" w:rsidRDefault="00EB50BF" w:rsidP="00957120">
      <w:pPr>
        <w:spacing w:after="0"/>
        <w:jc w:val="both"/>
        <w:rPr>
          <w:color w:val="595959" w:themeColor="text1" w:themeTint="A6"/>
        </w:rPr>
      </w:pPr>
    </w:p>
    <w:p w14:paraId="51D0B566" w14:textId="77777777" w:rsidR="00A9101D" w:rsidRDefault="00A9101D" w:rsidP="00957120">
      <w:pPr>
        <w:spacing w:after="0"/>
        <w:jc w:val="both"/>
        <w:rPr>
          <w:color w:val="595959" w:themeColor="text1" w:themeTint="A6"/>
        </w:rPr>
      </w:pPr>
    </w:p>
    <w:p w14:paraId="7D9F691F" w14:textId="77777777" w:rsidR="00A9101D" w:rsidRDefault="00A9101D" w:rsidP="00957120">
      <w:pPr>
        <w:spacing w:after="0"/>
        <w:jc w:val="both"/>
        <w:rPr>
          <w:color w:val="595959" w:themeColor="text1" w:themeTint="A6"/>
        </w:rPr>
      </w:pPr>
    </w:p>
    <w:p w14:paraId="36C59F39" w14:textId="77777777" w:rsidR="00A9101D" w:rsidRPr="002A1886" w:rsidRDefault="00A9101D" w:rsidP="00957120">
      <w:pPr>
        <w:spacing w:after="0"/>
        <w:jc w:val="both"/>
        <w:rPr>
          <w:color w:val="595959" w:themeColor="text1" w:themeTint="A6"/>
        </w:rPr>
      </w:pPr>
    </w:p>
    <w:p w14:paraId="2050681E" w14:textId="77777777" w:rsidR="00462397" w:rsidRPr="002A1886" w:rsidRDefault="00462397" w:rsidP="00957120">
      <w:pPr>
        <w:spacing w:after="0"/>
        <w:jc w:val="both"/>
        <w:rPr>
          <w:rFonts w:eastAsia="Times New Roman" w:cstheme="minorHAnsi"/>
          <w:b/>
          <w:bCs/>
          <w:color w:val="595959" w:themeColor="text1" w:themeTint="A6"/>
          <w:position w:val="-1"/>
          <w:sz w:val="32"/>
          <w:szCs w:val="32"/>
          <w:lang w:val="en-US"/>
        </w:rPr>
      </w:pPr>
    </w:p>
    <w:p w14:paraId="47B70D8E" w14:textId="77777777" w:rsidR="00462397" w:rsidRPr="00A9101D" w:rsidRDefault="00462397" w:rsidP="00957120">
      <w:pPr>
        <w:spacing w:after="0"/>
        <w:jc w:val="both"/>
        <w:rPr>
          <w:rFonts w:eastAsia="Times New Roman" w:cstheme="minorHAnsi"/>
          <w:b/>
          <w:bCs/>
          <w:color w:val="595959" w:themeColor="text1" w:themeTint="A6"/>
          <w:position w:val="-1"/>
          <w:sz w:val="28"/>
          <w:szCs w:val="28"/>
          <w:lang w:val="en-US"/>
        </w:rPr>
      </w:pPr>
      <w:r w:rsidRPr="00A9101D">
        <w:rPr>
          <w:rFonts w:eastAsia="Times New Roman" w:cstheme="minorHAnsi"/>
          <w:b/>
          <w:bCs/>
          <w:color w:val="595959" w:themeColor="text1" w:themeTint="A6"/>
          <w:position w:val="-1"/>
          <w:sz w:val="28"/>
          <w:szCs w:val="28"/>
          <w:lang w:val="en-US"/>
        </w:rPr>
        <w:t>VERSION CONTROL STATEMENT</w:t>
      </w:r>
    </w:p>
    <w:p w14:paraId="548FE570" w14:textId="77777777" w:rsidR="00462397" w:rsidRPr="002A1886" w:rsidRDefault="00462397" w:rsidP="00957120">
      <w:pPr>
        <w:spacing w:after="0"/>
        <w:jc w:val="both"/>
        <w:rPr>
          <w:b/>
          <w:color w:val="595959" w:themeColor="text1" w:themeTint="A6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5519D" w:rsidRPr="002A1886" w14:paraId="684AB589" w14:textId="77777777" w:rsidTr="7C9743C2">
        <w:tc>
          <w:tcPr>
            <w:tcW w:w="2405" w:type="dxa"/>
          </w:tcPr>
          <w:p w14:paraId="2F61E643" w14:textId="77777777" w:rsidR="00462397" w:rsidRPr="00E02D83" w:rsidRDefault="00462397" w:rsidP="00957120">
            <w:pPr>
              <w:spacing w:after="0"/>
              <w:jc w:val="both"/>
              <w:rPr>
                <w:b/>
                <w:color w:val="404040" w:themeColor="text1" w:themeTint="BF"/>
              </w:rPr>
            </w:pPr>
            <w:r w:rsidRPr="00E02D83">
              <w:rPr>
                <w:b/>
                <w:color w:val="404040" w:themeColor="text1" w:themeTint="BF"/>
              </w:rPr>
              <w:t>Version No:</w:t>
            </w:r>
          </w:p>
        </w:tc>
        <w:tc>
          <w:tcPr>
            <w:tcW w:w="6611" w:type="dxa"/>
          </w:tcPr>
          <w:p w14:paraId="59CB5362" w14:textId="3A36FCEC" w:rsidR="00462397" w:rsidRPr="00E02D83" w:rsidRDefault="006069D0" w:rsidP="00957120">
            <w:pPr>
              <w:spacing w:after="0"/>
              <w:jc w:val="both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2</w:t>
            </w:r>
            <w:r w:rsidR="00CC1B82" w:rsidRPr="7C9743C2">
              <w:rPr>
                <w:b/>
                <w:bCs/>
                <w:color w:val="404040" w:themeColor="text1" w:themeTint="BF"/>
              </w:rPr>
              <w:t>.0</w:t>
            </w:r>
          </w:p>
        </w:tc>
      </w:tr>
      <w:tr w:rsidR="0025519D" w:rsidRPr="002A1886" w14:paraId="52E34398" w14:textId="77777777" w:rsidTr="7C9743C2">
        <w:tc>
          <w:tcPr>
            <w:tcW w:w="2405" w:type="dxa"/>
          </w:tcPr>
          <w:p w14:paraId="152327EE" w14:textId="458FF6EF" w:rsidR="00462397" w:rsidRPr="00E02D83" w:rsidRDefault="00462397" w:rsidP="00957120">
            <w:pPr>
              <w:spacing w:after="0"/>
              <w:jc w:val="both"/>
              <w:rPr>
                <w:b/>
                <w:color w:val="404040" w:themeColor="text1" w:themeTint="BF"/>
              </w:rPr>
            </w:pPr>
            <w:r w:rsidRPr="00E02D83">
              <w:rPr>
                <w:b/>
                <w:color w:val="404040" w:themeColor="text1" w:themeTint="BF"/>
              </w:rPr>
              <w:t>Author:</w:t>
            </w:r>
          </w:p>
        </w:tc>
        <w:tc>
          <w:tcPr>
            <w:tcW w:w="6611" w:type="dxa"/>
          </w:tcPr>
          <w:p w14:paraId="00BFA32A" w14:textId="157D3FE7" w:rsidR="00462397" w:rsidRPr="00E02D83" w:rsidRDefault="00062A78" w:rsidP="00957120">
            <w:pPr>
              <w:spacing w:after="0"/>
              <w:jc w:val="bot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Director of Admissions and Access and Academic Registrar</w:t>
            </w:r>
          </w:p>
        </w:tc>
      </w:tr>
      <w:tr w:rsidR="0025519D" w:rsidRPr="002A1886" w14:paraId="7469EA12" w14:textId="77777777" w:rsidTr="7C9743C2">
        <w:tc>
          <w:tcPr>
            <w:tcW w:w="2405" w:type="dxa"/>
          </w:tcPr>
          <w:p w14:paraId="73A5070B" w14:textId="77777777" w:rsidR="00462397" w:rsidRPr="00E02D83" w:rsidRDefault="00462397" w:rsidP="00957120">
            <w:pPr>
              <w:spacing w:after="0"/>
              <w:jc w:val="both"/>
              <w:rPr>
                <w:b/>
                <w:color w:val="404040" w:themeColor="text1" w:themeTint="BF"/>
              </w:rPr>
            </w:pPr>
            <w:r w:rsidRPr="00E02D83">
              <w:rPr>
                <w:b/>
                <w:color w:val="404040" w:themeColor="text1" w:themeTint="BF"/>
              </w:rPr>
              <w:t>Approved by:</w:t>
            </w:r>
          </w:p>
        </w:tc>
        <w:tc>
          <w:tcPr>
            <w:tcW w:w="6611" w:type="dxa"/>
          </w:tcPr>
          <w:p w14:paraId="1D0C1AB9" w14:textId="0E2543EF" w:rsidR="00462397" w:rsidRPr="00E02D83" w:rsidRDefault="00E02D83" w:rsidP="00957120">
            <w:pPr>
              <w:spacing w:after="0"/>
              <w:jc w:val="both"/>
              <w:rPr>
                <w:b/>
                <w:color w:val="404040" w:themeColor="text1" w:themeTint="BF"/>
              </w:rPr>
            </w:pPr>
            <w:r w:rsidRPr="00E02D83">
              <w:rPr>
                <w:b/>
                <w:color w:val="404040" w:themeColor="text1" w:themeTint="BF"/>
              </w:rPr>
              <w:t>Education and Student Experience Committee (ESEC)</w:t>
            </w:r>
          </w:p>
        </w:tc>
      </w:tr>
      <w:tr w:rsidR="0025519D" w:rsidRPr="002A1886" w14:paraId="05C9AB95" w14:textId="77777777" w:rsidTr="7C9743C2">
        <w:tc>
          <w:tcPr>
            <w:tcW w:w="2405" w:type="dxa"/>
          </w:tcPr>
          <w:p w14:paraId="1E459D97" w14:textId="77777777" w:rsidR="00462397" w:rsidRPr="00E02D83" w:rsidRDefault="00462397" w:rsidP="00957120">
            <w:pPr>
              <w:spacing w:after="0"/>
              <w:jc w:val="both"/>
              <w:rPr>
                <w:b/>
                <w:color w:val="404040" w:themeColor="text1" w:themeTint="BF"/>
              </w:rPr>
            </w:pPr>
            <w:r w:rsidRPr="00E02D83">
              <w:rPr>
                <w:b/>
                <w:color w:val="404040" w:themeColor="text1" w:themeTint="BF"/>
              </w:rPr>
              <w:t>Approval date:</w:t>
            </w:r>
          </w:p>
        </w:tc>
        <w:tc>
          <w:tcPr>
            <w:tcW w:w="6611" w:type="dxa"/>
          </w:tcPr>
          <w:p w14:paraId="6FBB76CE" w14:textId="3BDBAD90" w:rsidR="00462397" w:rsidRPr="00E02D83" w:rsidRDefault="004C3F38" w:rsidP="00957120">
            <w:pPr>
              <w:spacing w:after="0"/>
              <w:jc w:val="bot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21 June 2023</w:t>
            </w:r>
          </w:p>
        </w:tc>
      </w:tr>
    </w:tbl>
    <w:p w14:paraId="05F1AC5A" w14:textId="77777777" w:rsidR="001B353E" w:rsidRPr="002A1886" w:rsidRDefault="001B353E" w:rsidP="00957120">
      <w:pPr>
        <w:spacing w:after="0"/>
        <w:jc w:val="both"/>
        <w:rPr>
          <w:rFonts w:ascii="Calibri" w:eastAsia="Times New Roman" w:hAnsi="Calibri" w:cs="Calibri"/>
          <w:bCs/>
          <w:color w:val="595959" w:themeColor="text1" w:themeTint="A6"/>
        </w:rPr>
      </w:pPr>
    </w:p>
    <w:p w14:paraId="4BA87BF2" w14:textId="40201F05" w:rsidR="0025519D" w:rsidRPr="002A1886" w:rsidRDefault="0025519D" w:rsidP="00957120">
      <w:pPr>
        <w:spacing w:after="0"/>
        <w:jc w:val="both"/>
        <w:rPr>
          <w:rFonts w:ascii="Calibri" w:eastAsia="Times New Roman" w:hAnsi="Calibri" w:cs="Calibri"/>
          <w:bCs/>
          <w:color w:val="595959" w:themeColor="text1" w:themeTint="A6"/>
        </w:rPr>
      </w:pPr>
      <w:r w:rsidRPr="002A1886">
        <w:rPr>
          <w:rFonts w:ascii="Calibri" w:eastAsia="Times New Roman" w:hAnsi="Calibri" w:cs="Calibri"/>
          <w:bCs/>
          <w:color w:val="595959" w:themeColor="text1" w:themeTint="A6"/>
        </w:rPr>
        <w:br w:type="page"/>
      </w:r>
    </w:p>
    <w:p w14:paraId="2DEEEAA5" w14:textId="77777777" w:rsidR="0025519D" w:rsidRPr="002A1886" w:rsidRDefault="0025519D" w:rsidP="00957120">
      <w:pPr>
        <w:spacing w:after="0"/>
        <w:jc w:val="both"/>
        <w:rPr>
          <w:rFonts w:ascii="Calibri" w:eastAsia="Times New Roman" w:hAnsi="Calibri" w:cs="Calibri"/>
          <w:bCs/>
          <w:color w:val="595959" w:themeColor="text1" w:themeTint="A6"/>
        </w:rPr>
      </w:pPr>
    </w:p>
    <w:sdt>
      <w:sdtPr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  <w:lang w:val="en-GB" w:eastAsia="en-GB"/>
        </w:rPr>
        <w:id w:val="-10781293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AC7842" w14:textId="77777777" w:rsidR="0025519D" w:rsidRPr="002A1886" w:rsidRDefault="0025519D" w:rsidP="00957120">
          <w:pPr>
            <w:pStyle w:val="TOCHeading"/>
            <w:spacing w:before="0" w:line="276" w:lineRule="auto"/>
            <w:jc w:val="both"/>
            <w:rPr>
              <w:b/>
              <w:color w:val="595959" w:themeColor="text1" w:themeTint="A6"/>
              <w:u w:val="single"/>
            </w:rPr>
          </w:pPr>
          <w:r w:rsidRPr="002A1886">
            <w:rPr>
              <w:b/>
              <w:color w:val="595959" w:themeColor="text1" w:themeTint="A6"/>
              <w:u w:val="single"/>
            </w:rPr>
            <w:t>Contents</w:t>
          </w:r>
        </w:p>
        <w:p w14:paraId="108E5E49" w14:textId="77777777" w:rsidR="0025519D" w:rsidRPr="002A1886" w:rsidRDefault="0025519D" w:rsidP="00957120">
          <w:pPr>
            <w:spacing w:after="0"/>
            <w:jc w:val="both"/>
            <w:rPr>
              <w:color w:val="595959" w:themeColor="text1" w:themeTint="A6"/>
              <w:lang w:val="en-US" w:eastAsia="en-US"/>
            </w:rPr>
          </w:pPr>
        </w:p>
        <w:p w14:paraId="4759A256" w14:textId="20B91107" w:rsidR="000F6F84" w:rsidRDefault="0025519D">
          <w:pPr>
            <w:pStyle w:val="TOC1"/>
            <w:tabs>
              <w:tab w:val="right" w:leader="dot" w:pos="9488"/>
            </w:tabs>
            <w:rPr>
              <w:noProof/>
            </w:rPr>
          </w:pPr>
          <w:r w:rsidRPr="002A1886">
            <w:rPr>
              <w:b/>
              <w:bCs/>
              <w:noProof/>
              <w:color w:val="595959" w:themeColor="text1" w:themeTint="A6"/>
            </w:rPr>
            <w:fldChar w:fldCharType="begin"/>
          </w:r>
          <w:r w:rsidRPr="002A1886">
            <w:rPr>
              <w:b/>
              <w:bCs/>
              <w:noProof/>
              <w:color w:val="595959" w:themeColor="text1" w:themeTint="A6"/>
            </w:rPr>
            <w:instrText xml:space="preserve"> TOC \o "1-3" \h \z \u </w:instrText>
          </w:r>
          <w:r w:rsidRPr="002A1886">
            <w:rPr>
              <w:b/>
              <w:bCs/>
              <w:noProof/>
              <w:color w:val="595959" w:themeColor="text1" w:themeTint="A6"/>
            </w:rPr>
            <w:fldChar w:fldCharType="separate"/>
          </w:r>
          <w:hyperlink w:anchor="_Toc137476766" w:history="1">
            <w:r w:rsidR="000F6F84" w:rsidRPr="002C5B19">
              <w:rPr>
                <w:rStyle w:val="Hyperlink"/>
                <w:rFonts w:eastAsia="Times New Roman"/>
                <w:b/>
                <w:noProof/>
              </w:rPr>
              <w:t>CRIMINAL CONVICTIONS POLICY AND PROCEDURE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_Toc137476766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3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54B5961B" w14:textId="686AE407" w:rsidR="000F6F84" w:rsidRDefault="00654D5A">
          <w:pPr>
            <w:pStyle w:val="TOC2"/>
            <w:tabs>
              <w:tab w:val="right" w:leader="dot" w:pos="9488"/>
            </w:tabs>
            <w:rPr>
              <w:noProof/>
            </w:rPr>
          </w:pPr>
          <w:hyperlink w:anchor="_Toc137476767" w:history="1">
            <w:r w:rsidR="000F6F84" w:rsidRPr="002C5B19">
              <w:rPr>
                <w:rStyle w:val="Hyperlink"/>
                <w:rFonts w:eastAsia="Times New Roman"/>
                <w:b/>
                <w:noProof/>
                <w:lang w:val="en-US"/>
              </w:rPr>
              <w:t>Purpose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_Toc137476767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3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554C73FB" w14:textId="758138B4" w:rsidR="000F6F84" w:rsidRDefault="00654D5A">
          <w:pPr>
            <w:pStyle w:val="TOC2"/>
            <w:tabs>
              <w:tab w:val="right" w:leader="dot" w:pos="9488"/>
            </w:tabs>
            <w:rPr>
              <w:noProof/>
            </w:rPr>
          </w:pPr>
          <w:hyperlink w:anchor="_Toc137476768" w:history="1">
            <w:r w:rsidR="000F6F84" w:rsidRPr="002C5B19">
              <w:rPr>
                <w:rStyle w:val="Hyperlink"/>
                <w:rFonts w:eastAsia="Times New Roman"/>
                <w:b/>
                <w:noProof/>
                <w:lang w:val="en-US"/>
              </w:rPr>
              <w:t>Scope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_Toc137476768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3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710A4CC8" w14:textId="73CC9D85" w:rsidR="000F6F84" w:rsidRDefault="00654D5A">
          <w:pPr>
            <w:pStyle w:val="TOC2"/>
            <w:tabs>
              <w:tab w:val="right" w:leader="dot" w:pos="9488"/>
            </w:tabs>
            <w:rPr>
              <w:noProof/>
            </w:rPr>
          </w:pPr>
          <w:hyperlink w:anchor="_Toc137476769" w:history="1">
            <w:r w:rsidR="000F6F84" w:rsidRPr="002C5B19">
              <w:rPr>
                <w:rStyle w:val="Hyperlink"/>
                <w:rFonts w:eastAsia="Times New Roman"/>
                <w:b/>
                <w:noProof/>
                <w:lang w:val="en-US"/>
              </w:rPr>
              <w:t>Points of Policy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_Toc137476769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3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33308460" w14:textId="3E23D741" w:rsidR="000F6F84" w:rsidRDefault="00654D5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137476770" w:history="1">
            <w:r w:rsidR="000F6F84" w:rsidRPr="002C5B19">
              <w:rPr>
                <w:rStyle w:val="Hyperlink"/>
                <w:rFonts w:eastAsia="Calibri"/>
                <w:b/>
                <w:bCs/>
                <w:noProof/>
                <w:lang w:eastAsia="en-US"/>
              </w:rPr>
              <w:t>General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_Toc137476770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3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67532A1E" w14:textId="70BEC8F9" w:rsidR="000F6F84" w:rsidRDefault="00654D5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137476771" w:history="1">
            <w:r w:rsidR="000F6F84" w:rsidRPr="002C5B19">
              <w:rPr>
                <w:rStyle w:val="Hyperlink"/>
                <w:rFonts w:eastAsia="Calibri"/>
                <w:b/>
                <w:bCs/>
                <w:noProof/>
                <w:lang w:eastAsia="en-US"/>
              </w:rPr>
              <w:t>Relevant Types of Convictions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_Toc137476771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5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7C83B988" w14:textId="40321010" w:rsidR="000F6F84" w:rsidRDefault="00654D5A">
          <w:pPr>
            <w:pStyle w:val="TOC2"/>
            <w:tabs>
              <w:tab w:val="right" w:leader="dot" w:pos="9488"/>
            </w:tabs>
            <w:rPr>
              <w:noProof/>
            </w:rPr>
          </w:pPr>
          <w:hyperlink w:anchor="_Toc137476772" w:history="1">
            <w:r w:rsidR="000F6F84" w:rsidRPr="002C5B19">
              <w:rPr>
                <w:rStyle w:val="Hyperlink"/>
                <w:rFonts w:eastAsia="Times New Roman"/>
                <w:b/>
                <w:noProof/>
                <w:lang w:val="en-US"/>
              </w:rPr>
              <w:t>Procedure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_Toc137476772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6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6471812D" w14:textId="3C7893D9" w:rsidR="000F6F84" w:rsidRDefault="00654D5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137476773" w:history="1">
            <w:r w:rsidR="000F6F84" w:rsidRPr="002C5B19">
              <w:rPr>
                <w:rStyle w:val="Hyperlink"/>
                <w:rFonts w:eastAsia="Calibri"/>
                <w:b/>
                <w:bCs/>
                <w:noProof/>
                <w:lang w:eastAsia="en-US"/>
              </w:rPr>
              <w:t>General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_Toc137476773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6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71759567" w14:textId="3395BB65" w:rsidR="000F6F84" w:rsidRDefault="00654D5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137476774" w:history="1">
            <w:r w:rsidR="000F6F84" w:rsidRPr="002C5B19">
              <w:rPr>
                <w:rStyle w:val="Hyperlink"/>
                <w:rFonts w:eastAsia="Calibri"/>
                <w:b/>
                <w:bCs/>
                <w:noProof/>
                <w:lang w:eastAsia="en-US"/>
              </w:rPr>
              <w:t>Applicants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_Toc137476774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6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46F18C80" w14:textId="2C6DFA00" w:rsidR="000F6F84" w:rsidRDefault="00654D5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137476775" w:history="1">
            <w:r w:rsidR="000F6F84" w:rsidRPr="002C5B19">
              <w:rPr>
                <w:rStyle w:val="Hyperlink"/>
                <w:rFonts w:eastAsia="Calibri"/>
                <w:b/>
                <w:bCs/>
                <w:noProof/>
                <w:lang w:eastAsia="en-US"/>
              </w:rPr>
              <w:t>Students</w:t>
            </w:r>
            <w:r w:rsidR="000F6F84">
              <w:rPr>
                <w:noProof/>
                <w:webHidden/>
              </w:rPr>
              <w:tab/>
            </w:r>
            <w:r w:rsidR="000F6F84">
              <w:rPr>
                <w:noProof/>
                <w:webHidden/>
              </w:rPr>
              <w:fldChar w:fldCharType="begin"/>
            </w:r>
            <w:r w:rsidR="000F6F84">
              <w:rPr>
                <w:noProof/>
                <w:webHidden/>
              </w:rPr>
              <w:instrText xml:space="preserve"> PAGEREF _Toc137476775 \h </w:instrText>
            </w:r>
            <w:r w:rsidR="000F6F84">
              <w:rPr>
                <w:noProof/>
                <w:webHidden/>
              </w:rPr>
            </w:r>
            <w:r w:rsidR="000F6F84">
              <w:rPr>
                <w:noProof/>
                <w:webHidden/>
              </w:rPr>
              <w:fldChar w:fldCharType="separate"/>
            </w:r>
            <w:r w:rsidR="000F6F84">
              <w:rPr>
                <w:noProof/>
                <w:webHidden/>
              </w:rPr>
              <w:t>7</w:t>
            </w:r>
            <w:r w:rsidR="000F6F84">
              <w:rPr>
                <w:noProof/>
                <w:webHidden/>
              </w:rPr>
              <w:fldChar w:fldCharType="end"/>
            </w:r>
          </w:hyperlink>
        </w:p>
        <w:p w14:paraId="25840ADD" w14:textId="3BA7DC8C" w:rsidR="0025519D" w:rsidRPr="002A1886" w:rsidRDefault="0025519D" w:rsidP="00957120">
          <w:pPr>
            <w:spacing w:after="0"/>
            <w:jc w:val="both"/>
            <w:rPr>
              <w:color w:val="595959" w:themeColor="text1" w:themeTint="A6"/>
            </w:rPr>
          </w:pPr>
          <w:r w:rsidRPr="002A1886">
            <w:rPr>
              <w:b/>
              <w:bCs/>
              <w:noProof/>
              <w:color w:val="595959" w:themeColor="text1" w:themeTint="A6"/>
            </w:rPr>
            <w:fldChar w:fldCharType="end"/>
          </w:r>
        </w:p>
      </w:sdtContent>
    </w:sdt>
    <w:p w14:paraId="55A18405" w14:textId="77777777" w:rsidR="0025519D" w:rsidRPr="002A1886" w:rsidRDefault="0025519D" w:rsidP="00957120">
      <w:pPr>
        <w:spacing w:after="0"/>
        <w:jc w:val="both"/>
        <w:rPr>
          <w:rFonts w:asciiTheme="majorHAnsi" w:eastAsia="Times New Roman" w:hAnsiTheme="majorHAnsi" w:cstheme="majorBidi"/>
          <w:b/>
          <w:color w:val="595959" w:themeColor="text1" w:themeTint="A6"/>
          <w:sz w:val="32"/>
          <w:szCs w:val="32"/>
          <w:u w:val="single"/>
        </w:rPr>
      </w:pPr>
      <w:r w:rsidRPr="002A1886">
        <w:rPr>
          <w:rFonts w:eastAsia="Times New Roman"/>
          <w:b/>
          <w:color w:val="595959" w:themeColor="text1" w:themeTint="A6"/>
          <w:u w:val="single"/>
        </w:rPr>
        <w:br w:type="page"/>
      </w:r>
    </w:p>
    <w:p w14:paraId="30529573" w14:textId="5EBF3930" w:rsidR="0025519D" w:rsidRPr="002A1886" w:rsidRDefault="00062A78" w:rsidP="00957120">
      <w:pPr>
        <w:pStyle w:val="Heading1"/>
        <w:spacing w:before="0"/>
        <w:jc w:val="both"/>
        <w:rPr>
          <w:rFonts w:ascii="Calibri" w:eastAsia="Times New Roman" w:hAnsi="Calibri" w:cs="Calibri"/>
          <w:b/>
          <w:color w:val="595959" w:themeColor="text1" w:themeTint="A6"/>
          <w:u w:val="single"/>
        </w:rPr>
      </w:pPr>
      <w:bookmarkStart w:id="0" w:name="_Toc137476766"/>
      <w:r>
        <w:rPr>
          <w:rFonts w:eastAsia="Times New Roman"/>
          <w:b/>
          <w:color w:val="595959" w:themeColor="text1" w:themeTint="A6"/>
          <w:u w:val="single"/>
        </w:rPr>
        <w:t xml:space="preserve">CRIMINAL CONVICTIONS </w:t>
      </w:r>
      <w:r w:rsidR="00571A5C">
        <w:rPr>
          <w:rFonts w:eastAsia="Times New Roman"/>
          <w:b/>
          <w:color w:val="595959" w:themeColor="text1" w:themeTint="A6"/>
          <w:u w:val="single"/>
        </w:rPr>
        <w:t>POLICY</w:t>
      </w:r>
      <w:r w:rsidR="00773162">
        <w:rPr>
          <w:rFonts w:eastAsia="Times New Roman"/>
          <w:b/>
          <w:color w:val="595959" w:themeColor="text1" w:themeTint="A6"/>
          <w:u w:val="single"/>
        </w:rPr>
        <w:t xml:space="preserve"> AND PROCEDURE</w:t>
      </w:r>
      <w:bookmarkEnd w:id="0"/>
    </w:p>
    <w:p w14:paraId="6B3C2A40" w14:textId="77777777" w:rsidR="0025519D" w:rsidRPr="002A1886" w:rsidRDefault="0025519D" w:rsidP="00957120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8"/>
          <w:lang w:val="en-US"/>
        </w:rPr>
      </w:pPr>
    </w:p>
    <w:p w14:paraId="7D8D0FBE" w14:textId="71F70822" w:rsidR="003027A7" w:rsidRPr="002A1886" w:rsidRDefault="0025519D" w:rsidP="00957120">
      <w:pPr>
        <w:pStyle w:val="Heading2"/>
        <w:spacing w:before="0"/>
        <w:jc w:val="both"/>
        <w:rPr>
          <w:rFonts w:eastAsia="Times New Roman"/>
          <w:b/>
          <w:color w:val="595959" w:themeColor="text1" w:themeTint="A6"/>
          <w:sz w:val="28"/>
          <w:szCs w:val="28"/>
          <w:lang w:val="en-US"/>
        </w:rPr>
      </w:pPr>
      <w:bookmarkStart w:id="1" w:name="_Toc137476767"/>
      <w:r w:rsidRPr="002A1886">
        <w:rPr>
          <w:rFonts w:eastAsia="Times New Roman"/>
          <w:b/>
          <w:color w:val="595959" w:themeColor="text1" w:themeTint="A6"/>
          <w:sz w:val="28"/>
          <w:szCs w:val="28"/>
          <w:lang w:val="en-US"/>
        </w:rPr>
        <w:t>Purpose</w:t>
      </w:r>
      <w:bookmarkEnd w:id="1"/>
    </w:p>
    <w:p w14:paraId="5FD46126" w14:textId="34952B8A" w:rsidR="003F31EB" w:rsidRPr="005B5242" w:rsidRDefault="003F31EB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University of Stirling strives to create a safe and welcoming community for our students, </w:t>
      </w:r>
      <w:proofErr w:type="gramStart"/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staff</w:t>
      </w:r>
      <w:proofErr w:type="gramEnd"/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and visitors. We are </w:t>
      </w:r>
      <w:r w:rsidR="002823A3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also </w:t>
      </w:r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committed to </w:t>
      </w:r>
      <w:r w:rsidR="002823A3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widening access and </w:t>
      </w:r>
      <w:r w:rsidR="001E1D12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within this, recognise the important role that higher education has in the </w:t>
      </w:r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rehabilitation of offender</w:t>
      </w:r>
      <w:r w:rsidR="001E1D12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s. </w:t>
      </w:r>
    </w:p>
    <w:p w14:paraId="3953241B" w14:textId="77777777" w:rsidR="003F31EB" w:rsidRPr="005B5242" w:rsidRDefault="003F31EB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3445139F" w14:textId="03059D17" w:rsidR="00481B65" w:rsidRDefault="003F31EB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proofErr w:type="gramStart"/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In order to</w:t>
      </w:r>
      <w:proofErr w:type="gramEnd"/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facilitate a safe environment</w:t>
      </w:r>
      <w:r w:rsidR="0098287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</w:t>
      </w:r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protect the University community, </w:t>
      </w:r>
      <w:r w:rsidR="0098287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and </w:t>
      </w:r>
      <w:r w:rsidR="007E4A2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ensure the suitability of applicants </w:t>
      </w:r>
      <w:r w:rsidR="00C57FB6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for a course of study, </w:t>
      </w:r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University collects and records information on </w:t>
      </w:r>
      <w:r w:rsid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relevant </w:t>
      </w:r>
      <w:r w:rsidR="003E5765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unspent </w:t>
      </w:r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criminal convictions </w:t>
      </w:r>
      <w:r w:rsidR="00380874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from </w:t>
      </w:r>
      <w:r w:rsidR="00481B65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applicants who have received an offer of admission to the University and from students.</w:t>
      </w:r>
      <w:r w:rsidR="003E5765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1D905E94" w14:textId="77777777" w:rsidR="00635031" w:rsidRPr="00635031" w:rsidRDefault="00635031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2773B917" w14:textId="380D2A76" w:rsidR="00635031" w:rsidRPr="005B5242" w:rsidRDefault="00635031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In doing so, the University seeks to </w:t>
      </w:r>
      <w:r w:rsidR="00F8540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facilitate safety, </w:t>
      </w:r>
      <w:proofErr w:type="gramStart"/>
      <w:r w:rsidR="00F8540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fairness</w:t>
      </w:r>
      <w:proofErr w:type="gramEnd"/>
      <w:r w:rsidR="00F8540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and transparency</w:t>
      </w:r>
      <w:r w:rsidR="00433457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74F9F551" w14:textId="77777777" w:rsidR="00481B65" w:rsidRPr="005B5242" w:rsidRDefault="00481B65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56F039E7" w14:textId="320AB81A" w:rsidR="00796BF8" w:rsidRPr="005B5242" w:rsidRDefault="00BC72D5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This policy and procedure </w:t>
      </w:r>
      <w:proofErr w:type="gramStart"/>
      <w:r w:rsidR="00B363E0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sets</w:t>
      </w:r>
      <w:proofErr w:type="gramEnd"/>
      <w:r w:rsidR="00B363E0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out the University’s </w:t>
      </w:r>
      <w:r w:rsidR="00AA1BF9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approach, requirements and expectations </w:t>
      </w:r>
      <w:r w:rsidR="008C032D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for </w:t>
      </w:r>
      <w:r w:rsidR="00AA1BF9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criminal convictions and </w:t>
      </w:r>
      <w:r w:rsidR="00473E28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arrangements in place to </w:t>
      </w:r>
      <w:r w:rsidR="00BF7409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engage with applicants and students</w:t>
      </w:r>
      <w:r w:rsidR="008C032D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in respect of this.</w:t>
      </w:r>
    </w:p>
    <w:p w14:paraId="318BB01E" w14:textId="77777777" w:rsidR="00796BF8" w:rsidRPr="005B5242" w:rsidRDefault="00796BF8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60A94356" w14:textId="123DDCA5" w:rsidR="00CD35BF" w:rsidRDefault="00427F6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The policy operates in conjunction with the University</w:t>
      </w:r>
      <w:r w:rsidR="00B40158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’s</w:t>
      </w:r>
      <w:r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="00B83C4E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other Ordinances, policies</w:t>
      </w:r>
      <w:r w:rsidR="00181D62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procedures, </w:t>
      </w:r>
      <w:proofErr w:type="gramStart"/>
      <w:r w:rsidR="00181D62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codes</w:t>
      </w:r>
      <w:proofErr w:type="gramEnd"/>
      <w:r w:rsidR="00181D62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and regulations. This includes</w:t>
      </w:r>
      <w:r w:rsidR="00D16039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(but is not limited to)</w:t>
      </w:r>
      <w:r w:rsidR="00181D62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, the Admissions Policy and Procedure, Ordinance 2</w:t>
      </w:r>
      <w:r w:rsidR="008E158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: </w:t>
      </w:r>
      <w:r w:rsidR="00181D62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Code of Student Discipline</w:t>
      </w:r>
      <w:r w:rsidR="00D16039" w:rsidRPr="005B524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, Data Protection Policy.</w:t>
      </w:r>
    </w:p>
    <w:p w14:paraId="27BEB119" w14:textId="77777777" w:rsidR="00D22163" w:rsidRPr="00D22163" w:rsidRDefault="00D22163" w:rsidP="00D22163">
      <w:pPr>
        <w:pStyle w:val="ListParagraph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6A465884" w14:textId="77777777" w:rsidR="00D22163" w:rsidRPr="00957120" w:rsidRDefault="00D22163" w:rsidP="00D22163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30276EE5" w14:textId="77777777" w:rsidR="0025519D" w:rsidRPr="002A1886" w:rsidRDefault="0025519D" w:rsidP="00957120">
      <w:pPr>
        <w:pStyle w:val="Heading2"/>
        <w:spacing w:before="0"/>
        <w:jc w:val="both"/>
        <w:rPr>
          <w:rFonts w:eastAsia="Times New Roman"/>
          <w:b/>
          <w:color w:val="595959" w:themeColor="text1" w:themeTint="A6"/>
          <w:sz w:val="28"/>
          <w:szCs w:val="28"/>
          <w:lang w:val="en-US"/>
        </w:rPr>
      </w:pPr>
      <w:bookmarkStart w:id="2" w:name="_Toc137476768"/>
      <w:r w:rsidRPr="002A1886">
        <w:rPr>
          <w:rFonts w:eastAsia="Times New Roman"/>
          <w:b/>
          <w:color w:val="595959" w:themeColor="text1" w:themeTint="A6"/>
          <w:sz w:val="28"/>
          <w:szCs w:val="28"/>
          <w:lang w:val="en-US"/>
        </w:rPr>
        <w:t>Scope</w:t>
      </w:r>
      <w:bookmarkEnd w:id="2"/>
    </w:p>
    <w:p w14:paraId="3E353EE6" w14:textId="2EB2CEEF" w:rsidR="00E206B2" w:rsidRPr="00B703CF" w:rsidRDefault="00432F59" w:rsidP="00957120">
      <w:pPr>
        <w:pStyle w:val="ListParagraph"/>
        <w:numPr>
          <w:ilvl w:val="0"/>
          <w:numId w:val="38"/>
        </w:numPr>
        <w:shd w:val="clear" w:color="auto" w:fill="FFFFFF"/>
        <w:tabs>
          <w:tab w:val="center" w:pos="4513"/>
          <w:tab w:val="right" w:pos="9026"/>
        </w:tabs>
        <w:spacing w:after="0"/>
        <w:ind w:left="426" w:hanging="426"/>
        <w:jc w:val="both"/>
        <w:rPr>
          <w:rFonts w:ascii="Calibri" w:eastAsia="Calibri" w:hAnsi="Calibri" w:cs="Calibri"/>
          <w:color w:val="595959" w:themeColor="text1" w:themeTint="A6"/>
          <w:lang w:eastAsia="en-US"/>
        </w:rPr>
      </w:pPr>
      <w:r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Th</w:t>
      </w:r>
      <w:r w:rsidR="001C1B96"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e</w:t>
      </w:r>
      <w:r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policy and procedure </w:t>
      </w:r>
      <w:r w:rsidR="001C1B96"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are </w:t>
      </w:r>
      <w:r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appl</w:t>
      </w:r>
      <w:r w:rsidR="001C1B96"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icable</w:t>
      </w:r>
      <w:r w:rsidR="002A1886"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to </w:t>
      </w:r>
      <w:r w:rsidR="0016115E"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University of Stirling </w:t>
      </w:r>
      <w:r w:rsidR="0010755D"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applicants and students</w:t>
      </w:r>
      <w:r w:rsidR="00B703CF"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whether undertaking study in person or </w:t>
      </w:r>
      <w:r w:rsidR="0016115E"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online.</w:t>
      </w:r>
      <w:r w:rsidR="00AB5822" w:rsidRPr="00B703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32BE6190" w14:textId="403490B1" w:rsidR="00CD35BF" w:rsidRPr="00957120" w:rsidRDefault="00CD35BF" w:rsidP="00957120">
      <w:pPr>
        <w:spacing w:after="0"/>
        <w:rPr>
          <w:rFonts w:asciiTheme="majorHAnsi" w:eastAsia="Times New Roman" w:hAnsiTheme="majorHAnsi" w:cstheme="majorBidi"/>
          <w:b/>
          <w:color w:val="595959" w:themeColor="text1" w:themeTint="A6"/>
          <w:sz w:val="24"/>
          <w:szCs w:val="24"/>
          <w:lang w:val="en-US"/>
        </w:rPr>
      </w:pPr>
    </w:p>
    <w:p w14:paraId="3B9FA640" w14:textId="77777777" w:rsidR="00957120" w:rsidRPr="00957120" w:rsidRDefault="00957120" w:rsidP="00957120">
      <w:pPr>
        <w:spacing w:after="0"/>
        <w:rPr>
          <w:rFonts w:asciiTheme="majorHAnsi" w:eastAsia="Times New Roman" w:hAnsiTheme="majorHAnsi" w:cstheme="majorBidi"/>
          <w:b/>
          <w:color w:val="595959" w:themeColor="text1" w:themeTint="A6"/>
          <w:sz w:val="24"/>
          <w:szCs w:val="24"/>
          <w:lang w:val="en-US"/>
        </w:rPr>
      </w:pPr>
    </w:p>
    <w:p w14:paraId="6AE1465A" w14:textId="222FEF12" w:rsidR="0053616F" w:rsidRPr="00A3148D" w:rsidRDefault="0025519D" w:rsidP="00957120">
      <w:pPr>
        <w:pStyle w:val="Heading2"/>
        <w:spacing w:before="0"/>
        <w:jc w:val="both"/>
        <w:rPr>
          <w:rFonts w:eastAsia="Times New Roman"/>
          <w:b/>
          <w:color w:val="595959" w:themeColor="text1" w:themeTint="A6"/>
          <w:sz w:val="28"/>
          <w:szCs w:val="28"/>
          <w:lang w:val="en-US"/>
        </w:rPr>
      </w:pPr>
      <w:bookmarkStart w:id="3" w:name="_Toc137476769"/>
      <w:r w:rsidRPr="002A1886">
        <w:rPr>
          <w:rFonts w:eastAsia="Times New Roman"/>
          <w:b/>
          <w:color w:val="595959" w:themeColor="text1" w:themeTint="A6"/>
          <w:sz w:val="28"/>
          <w:szCs w:val="28"/>
          <w:lang w:val="en-US"/>
        </w:rPr>
        <w:t>Points of Policy</w:t>
      </w:r>
      <w:bookmarkEnd w:id="3"/>
      <w:r w:rsidR="002A1886" w:rsidRPr="002A1886">
        <w:rPr>
          <w:rFonts w:eastAsia="Times New Roman"/>
          <w:b/>
          <w:color w:val="595959" w:themeColor="text1" w:themeTint="A6"/>
          <w:sz w:val="28"/>
          <w:szCs w:val="28"/>
          <w:lang w:val="en-US"/>
        </w:rPr>
        <w:t xml:space="preserve"> </w:t>
      </w:r>
    </w:p>
    <w:p w14:paraId="31EE596E" w14:textId="234F99BD" w:rsidR="0053616F" w:rsidRPr="00FA31E3" w:rsidRDefault="0053616F" w:rsidP="00957120">
      <w:pPr>
        <w:pStyle w:val="Heading3"/>
        <w:spacing w:before="0"/>
        <w:rPr>
          <w:rFonts w:eastAsia="Calibri"/>
          <w:b/>
          <w:bCs/>
          <w:color w:val="595959" w:themeColor="text1" w:themeTint="A6"/>
          <w:lang w:eastAsia="en-US"/>
        </w:rPr>
      </w:pPr>
      <w:bookmarkStart w:id="4" w:name="_Toc137476770"/>
      <w:r w:rsidRPr="00FA31E3">
        <w:rPr>
          <w:rFonts w:eastAsia="Calibri"/>
          <w:b/>
          <w:bCs/>
          <w:color w:val="595959" w:themeColor="text1" w:themeTint="A6"/>
          <w:lang w:eastAsia="en-US"/>
        </w:rPr>
        <w:t>General</w:t>
      </w:r>
      <w:bookmarkEnd w:id="4"/>
    </w:p>
    <w:p w14:paraId="0BD1DCAF" w14:textId="5223B842" w:rsidR="00172FAC" w:rsidRDefault="00336377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University collects information regarding </w:t>
      </w:r>
      <w:r w:rsidR="004279CC"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criminal convictions </w:t>
      </w:r>
      <w:proofErr w:type="gramStart"/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on the basis of</w:t>
      </w:r>
      <w:proofErr w:type="gramEnd"/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="00650908"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relevant</w:t>
      </w: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legislation</w:t>
      </w:r>
      <w:r w:rsidR="00650908"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including </w:t>
      </w: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Rehabilitation of Offenders Act 1974. This legislation classifies individuals as rehabilitated after a specified </w:t>
      </w:r>
      <w:proofErr w:type="gramStart"/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time period</w:t>
      </w:r>
      <w:proofErr w:type="gramEnd"/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provided they do not receive any further convictions. After this specified </w:t>
      </w:r>
      <w:proofErr w:type="gramStart"/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time period</w:t>
      </w:r>
      <w:proofErr w:type="gramEnd"/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the original conviction is considered as </w:t>
      </w:r>
      <w:r w:rsidR="00EB656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‘</w:t>
      </w: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spent</w:t>
      </w:r>
      <w:r w:rsidR="00EB656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’</w:t>
      </w: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 There are however convictions which are never considered as spent</w:t>
      </w:r>
      <w:r w:rsidR="004F3E06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such as where a custodial sentence </w:t>
      </w:r>
      <w:r w:rsidR="00D75D3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longer than four years</w:t>
      </w:r>
      <w:r w:rsidR="00764F9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was applied</w:t>
      </w:r>
      <w:r w:rsidR="00D75D3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and there are </w:t>
      </w: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professions where any conviction spent or unspent requires to be considered, these are termed as being exempt from the Rehabilitation of Offenders Act 1974.</w:t>
      </w:r>
    </w:p>
    <w:p w14:paraId="1B1F730F" w14:textId="77777777" w:rsidR="00172FAC" w:rsidRDefault="00172FAC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09E59317" w14:textId="77777777" w:rsidR="00D22163" w:rsidRDefault="00D22163">
      <w:pPr>
        <w:spacing w:after="160" w:line="259" w:lineRule="auto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br w:type="page"/>
      </w:r>
    </w:p>
    <w:p w14:paraId="2E246605" w14:textId="7B38BB23" w:rsidR="00B703CF" w:rsidRPr="00727F64" w:rsidRDefault="00172FAC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University has </w:t>
      </w:r>
      <w:proofErr w:type="gramStart"/>
      <w:r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 number of</w:t>
      </w:r>
      <w:proofErr w:type="gramEnd"/>
      <w:r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programmes which involve regulated work with children and/or protected adults</w:t>
      </w:r>
      <w:r w:rsidR="00861CE3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(as </w:t>
      </w:r>
      <w:r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defined in the Protection of Vulnerable Groups (Scotland) Act 2007</w:t>
      </w:r>
      <w:r w:rsidR="00861CE3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)</w:t>
      </w:r>
      <w:r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</w:t>
      </w:r>
      <w:r w:rsidR="00861CE3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which </w:t>
      </w:r>
      <w:r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are exempt from the Rehabilitation of Offenders Act 1974. </w:t>
      </w:r>
      <w:r w:rsidR="00B703CF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These programmes </w:t>
      </w:r>
      <w:r w:rsid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include, for example,</w:t>
      </w:r>
      <w:r w:rsidR="00B703CF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Nursing</w:t>
      </w:r>
      <w:r w:rsid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</w:t>
      </w:r>
      <w:r w:rsidR="00B703CF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Social Work</w:t>
      </w:r>
      <w:r w:rsid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</w:t>
      </w:r>
      <w:r w:rsidR="00B703CF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Teacher Education</w:t>
      </w:r>
      <w:r w:rsid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</w:t>
      </w:r>
      <w:r w:rsidR="00B703CF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Paramedic Education</w:t>
      </w:r>
      <w:r w:rsid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,</w:t>
      </w:r>
      <w:r w:rsidR="00B703CF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Doc</w:t>
      </w:r>
      <w:r w:rsidR="00764F9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torates in </w:t>
      </w:r>
      <w:r w:rsidR="00B703CF" w:rsidRP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Health Psychology. </w:t>
      </w:r>
    </w:p>
    <w:p w14:paraId="456A9C6B" w14:textId="77777777" w:rsidR="00B703CF" w:rsidRPr="00B703CF" w:rsidRDefault="00B703CF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1B356402" w14:textId="4A1D5EE2" w:rsidR="00A3148D" w:rsidRPr="00A3148D" w:rsidRDefault="00172FAC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Applicants </w:t>
      </w:r>
      <w:r w:rsidR="00262CF5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to these </w:t>
      </w:r>
      <w:r w:rsidR="0055321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exempt </w:t>
      </w:r>
      <w:r w:rsidR="00262CF5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programmes </w:t>
      </w:r>
      <w:r w:rsidR="0055321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referred to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in paragraph 8 </w:t>
      </w:r>
      <w:r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are </w:t>
      </w:r>
      <w:r w:rsidR="00262CF5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therefore </w:t>
      </w:r>
      <w:r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required to declare all convictions including spent and unspent and should include sentences</w:t>
      </w:r>
      <w:r w:rsidR="004A203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and</w:t>
      </w:r>
      <w:r w:rsidR="004A203E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cautions</w:t>
      </w:r>
      <w:r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(including verbal). 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In addition, applicants are required to become a member of the </w:t>
      </w:r>
      <w:hyperlink r:id="rId11" w:history="1">
        <w:r w:rsidR="00B703CF" w:rsidRPr="00A3148D">
          <w:rPr>
            <w:rStyle w:val="Hyperlink"/>
            <w:rFonts w:ascii="Calibri" w:eastAsia="Calibri" w:hAnsi="Calibri" w:cs="Calibri"/>
            <w:sz w:val="24"/>
            <w:szCs w:val="24"/>
            <w:lang w:eastAsia="en-US"/>
          </w:rPr>
          <w:t>Protecting Vulnerable Groups (PVG)</w:t>
        </w:r>
      </w:hyperlink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membership scheme. Whe</w:t>
      </w:r>
      <w:r w:rsidR="00A3148D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="00A3148D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an 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appl</w:t>
      </w:r>
      <w:r w:rsidR="00A3148D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ication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="00A3148D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is submitted 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for PVG membership</w:t>
      </w:r>
      <w:r w:rsidR="00A3148D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,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="00A3148D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by a University of Stirling applicant, 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Disclosure Scotland will carry out a criminal record check and share that with the </w:t>
      </w:r>
      <w:r w:rsidR="00A3148D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applicant and the 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University.</w:t>
      </w:r>
    </w:p>
    <w:p w14:paraId="2550FDC3" w14:textId="77777777" w:rsidR="00A3148D" w:rsidRPr="00A3148D" w:rsidRDefault="00A3148D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63739B8A" w14:textId="02726B9E" w:rsidR="00A3148D" w:rsidRDefault="00A3148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Applicants who are applying from outside of the UK </w:t>
      </w:r>
      <w:bookmarkStart w:id="5" w:name="_Hlk140768493"/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are required</w:t>
      </w:r>
      <w:r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to engage with the University’s arrangements regarding criminal convictions in the same way as other applicants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,</w:t>
      </w:r>
      <w:r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and their information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is</w:t>
      </w:r>
      <w:r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considered in the same way as that of a UK resident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 Additionally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,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for applicants who live outside of the UK or who have been resident outside the UK in the previous five years, evidence of a current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criminal record check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is also required from the applicant’s 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home country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/overseas country of residence along with </w:t>
      </w:r>
      <w:r w:rsidR="00B703CF" w:rsidRPr="00A3148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 Certificate of Good Conduct or Police Certification.</w:t>
      </w:r>
    </w:p>
    <w:bookmarkEnd w:id="5"/>
    <w:p w14:paraId="14B725DE" w14:textId="77777777" w:rsidR="00A3148D" w:rsidRPr="00A3148D" w:rsidRDefault="00A3148D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5F06DEE1" w14:textId="4687DDE1" w:rsidR="00A3148D" w:rsidRDefault="00A3148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Applicants are asked by the University to declare if they have any relevant unspent criminal convictions once they have received an offer of admission from the University. </w:t>
      </w:r>
    </w:p>
    <w:p w14:paraId="78603ACD" w14:textId="77777777" w:rsidR="00A3148D" w:rsidRPr="00A3148D" w:rsidRDefault="00A3148D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6557E7B0" w14:textId="6CA35117" w:rsidR="00A3148D" w:rsidRPr="00A3148D" w:rsidRDefault="00A3148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Students are asked to declare this information on an annual basis within the enrolment process.  </w:t>
      </w:r>
    </w:p>
    <w:p w14:paraId="25A14DC2" w14:textId="77777777" w:rsidR="00A3148D" w:rsidRPr="00AE26A8" w:rsidRDefault="00A3148D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33406BFA" w14:textId="6459E4FB" w:rsidR="00A3148D" w:rsidRPr="00A3148D" w:rsidRDefault="00A3148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The consideration of any criminal convictions declared by an applicant must have been concluded before studies with the University can commence.</w:t>
      </w:r>
    </w:p>
    <w:p w14:paraId="759BE391" w14:textId="77777777" w:rsidR="00A3148D" w:rsidRPr="00BD297B" w:rsidRDefault="00A3148D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52AC6C4D" w14:textId="7BED1780" w:rsidR="00727F64" w:rsidRPr="00727F64" w:rsidRDefault="00A3148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It is the responsibility of the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applicant or student</w:t>
      </w: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 provide comprehensive and accurate info</w:t>
      </w: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rmation to the University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in line with the requirements of the Criminal Convictions Procedure and as required by the University to enable a full and appropriate consideration of information provided</w:t>
      </w:r>
      <w:r w:rsidRPr="006509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. </w:t>
      </w:r>
    </w:p>
    <w:p w14:paraId="3B02A4D5" w14:textId="47489B5E" w:rsidR="00727F64" w:rsidRDefault="00727F64" w:rsidP="00957120">
      <w:pPr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56322DC3" w14:textId="51AB7DB7" w:rsidR="00A3148D" w:rsidRDefault="00A3148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D935E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If an applicant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/student</w:t>
      </w:r>
      <w:r w:rsidRPr="00D935E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fails to disclose information within the time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-</w:t>
      </w:r>
      <w:r w:rsidRPr="00D935E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period requested, the University reserves the right to withdraw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an </w:t>
      </w:r>
      <w:r w:rsidRPr="00D935E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offer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or admission, in line with the Admissions Policy, and to take this into account within any action progressed under Ordinance 2: Code of Student Discipline. </w:t>
      </w:r>
      <w:r w:rsidRPr="00D935E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5E126CA7" w14:textId="77777777" w:rsidR="00A3148D" w:rsidRPr="0053616F" w:rsidRDefault="00A3148D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733D3A50" w14:textId="77777777" w:rsidR="002A0665" w:rsidRDefault="002A0665">
      <w:pPr>
        <w:spacing w:after="160" w:line="259" w:lineRule="auto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br w:type="page"/>
      </w:r>
    </w:p>
    <w:p w14:paraId="7A972D70" w14:textId="139FC45F" w:rsidR="00A3148D" w:rsidRDefault="00A3148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53616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Where an applicant or student reports an unspent conviction, the information </w:t>
      </w:r>
      <w:r w:rsidR="00D22163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is</w:t>
      </w:r>
      <w:r w:rsidRPr="0053616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used by the University in line with the Criminal Convictions Procedure, and associated University ordinance, </w:t>
      </w:r>
      <w:proofErr w:type="gramStart"/>
      <w:r w:rsidRPr="0053616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policy</w:t>
      </w:r>
      <w:proofErr w:type="gramEnd"/>
      <w:r w:rsidRPr="0053616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and procedure as appropriate. In addition, the University will seek additional information from the applicant or student where it considers this necessary. </w:t>
      </w:r>
    </w:p>
    <w:p w14:paraId="6C3C8820" w14:textId="77777777" w:rsidR="00764F91" w:rsidRPr="00764F91" w:rsidRDefault="00764F91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7C79EB15" w14:textId="42BB93C8" w:rsidR="00764F91" w:rsidRDefault="00764F91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bookmarkStart w:id="6" w:name="_Hlk140768691"/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Criminal convictions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information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is 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only used to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inform considerations and 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make decision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s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about admission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to the University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and/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or action required as appropriate through the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Fitness to Practise or s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tudent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d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isciplinary procedure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s, 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and the University will only ask for the information n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ecessary for these purposes</w:t>
      </w:r>
      <w:r w:rsidRPr="006535B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. </w:t>
      </w:r>
    </w:p>
    <w:bookmarkEnd w:id="6"/>
    <w:p w14:paraId="6176DC84" w14:textId="77777777" w:rsidR="00764F91" w:rsidRPr="00764F91" w:rsidRDefault="00764F91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3121318E" w14:textId="2033A0C8" w:rsidR="00764F91" w:rsidRPr="00764F91" w:rsidRDefault="00764F91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bookmarkStart w:id="7" w:name="_Hlk140768608"/>
      <w:r w:rsidRPr="006208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Information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provided by applicants/students </w:t>
      </w:r>
      <w:r w:rsidRPr="006208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is held securely on the University’s systems and access is strictly limited to members of staff who are required to see it. The information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provided, and other information relevant to the considerations undertaken by the University of any convictions declared, </w:t>
      </w:r>
      <w:r w:rsidRPr="006208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will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be retained in line with specified data retention timelines and w</w:t>
      </w:r>
      <w:r w:rsidRPr="006208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he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</w:t>
      </w:r>
      <w:r w:rsidRPr="006208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information is no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 to be retained permanently</w:t>
      </w:r>
      <w:r w:rsidRPr="0062080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it will be securely destroyed. </w:t>
      </w:r>
    </w:p>
    <w:p w14:paraId="7C870910" w14:textId="77777777" w:rsidR="00A3148D" w:rsidRPr="00A3148D" w:rsidRDefault="00A3148D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7ABF0F89" w14:textId="745ECC01" w:rsidR="00706B37" w:rsidRPr="0073520E" w:rsidRDefault="00706B37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06B37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Information is collected</w:t>
      </w:r>
      <w:r w:rsidR="00CE548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</w:t>
      </w:r>
      <w:proofErr w:type="gramStart"/>
      <w:r w:rsidR="00CE548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processed</w:t>
      </w:r>
      <w:proofErr w:type="gramEnd"/>
      <w:r w:rsidR="00CE548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Pr="00706B37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and retained by the University </w:t>
      </w:r>
      <w:r w:rsidRPr="00CE548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in </w:t>
      </w:r>
      <w:r w:rsidR="00CE548A" w:rsidRPr="00CE548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line</w:t>
      </w:r>
      <w:r w:rsidRPr="00CE548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with the University of Stirling Privacy Notices for Applicants</w:t>
      </w:r>
      <w:r w:rsidR="00CE548A" w:rsidRPr="00CE548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, Students</w:t>
      </w:r>
      <w:r w:rsidRPr="00CE548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and the General Data Protection Regulation</w:t>
      </w:r>
      <w:r w:rsidR="000C0B2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(UK GDPR) </w:t>
      </w:r>
      <w:r w:rsidR="004446D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/ the Data Protection Act 2018</w:t>
      </w:r>
      <w:r w:rsidRPr="00CE548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  <w:r w:rsidR="004446D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The University’s Privacy Notices are available here:</w:t>
      </w:r>
      <w:r w:rsidR="00CE548A">
        <w:t xml:space="preserve"> </w:t>
      </w:r>
      <w:hyperlink r:id="rId12" w:history="1">
        <w:r w:rsidR="000C0B2C" w:rsidRPr="004446DE">
          <w:rPr>
            <w:rStyle w:val="Hyperlink"/>
            <w:sz w:val="24"/>
            <w:szCs w:val="24"/>
          </w:rPr>
          <w:t>www.stir.ac.uk/privacy</w:t>
        </w:r>
      </w:hyperlink>
      <w:r w:rsidR="004446DE" w:rsidRPr="004446DE">
        <w:rPr>
          <w:sz w:val="24"/>
          <w:szCs w:val="24"/>
        </w:rPr>
        <w:t>.</w:t>
      </w:r>
      <w:r w:rsidRPr="004446DE">
        <w:rPr>
          <w:sz w:val="24"/>
          <w:szCs w:val="24"/>
        </w:rPr>
        <w:t xml:space="preserve"> </w:t>
      </w:r>
    </w:p>
    <w:bookmarkEnd w:id="7"/>
    <w:p w14:paraId="78E374FF" w14:textId="77777777" w:rsidR="0073520E" w:rsidRPr="0073520E" w:rsidRDefault="0073520E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2A88F2BF" w14:textId="7CE35289" w:rsidR="00764F91" w:rsidRPr="00764F91" w:rsidRDefault="0073520E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University </w:t>
      </w:r>
      <w:r w:rsidR="000B263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maintains a Data Privacy Impact Assessment (DPIA) </w:t>
      </w:r>
      <w:r w:rsidR="00BB0F2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in respect of the collection and retention of data on criminal convictions.</w:t>
      </w:r>
      <w:r w:rsidR="00177A5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The DPIA acknowledges the </w:t>
      </w:r>
      <w:r w:rsidR="008C105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sensitive nature </w:t>
      </w:r>
      <w:r w:rsidR="00F95395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of </w:t>
      </w:r>
      <w:r w:rsidR="008C105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data and the necessity of </w:t>
      </w:r>
      <w:r w:rsidR="00F95395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collection and processing.</w:t>
      </w:r>
    </w:p>
    <w:p w14:paraId="4D18E9AE" w14:textId="77777777" w:rsidR="00262CF5" w:rsidRPr="00262CF5" w:rsidRDefault="00262CF5" w:rsidP="00957120">
      <w:pPr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776EDA09" w14:textId="2CFFE366" w:rsidR="005C5FDD" w:rsidRPr="008A5C02" w:rsidRDefault="00727F64" w:rsidP="00957120">
      <w:pPr>
        <w:pStyle w:val="Heading3"/>
        <w:spacing w:before="0"/>
        <w:rPr>
          <w:rFonts w:eastAsia="Calibri"/>
          <w:b/>
          <w:bCs/>
          <w:color w:val="595959" w:themeColor="text1" w:themeTint="A6"/>
          <w:lang w:eastAsia="en-US"/>
        </w:rPr>
      </w:pPr>
      <w:bookmarkStart w:id="8" w:name="_Toc137476771"/>
      <w:r>
        <w:rPr>
          <w:rFonts w:eastAsia="Calibri"/>
          <w:b/>
          <w:bCs/>
          <w:color w:val="595959" w:themeColor="text1" w:themeTint="A6"/>
          <w:lang w:eastAsia="en-US"/>
        </w:rPr>
        <w:t xml:space="preserve">Relevant </w:t>
      </w:r>
      <w:r w:rsidR="005C5FDD" w:rsidRPr="008A5C02">
        <w:rPr>
          <w:rFonts w:eastAsia="Calibri"/>
          <w:b/>
          <w:bCs/>
          <w:color w:val="595959" w:themeColor="text1" w:themeTint="A6"/>
          <w:lang w:eastAsia="en-US"/>
        </w:rPr>
        <w:t xml:space="preserve">Types of </w:t>
      </w:r>
      <w:r>
        <w:rPr>
          <w:rFonts w:eastAsia="Calibri"/>
          <w:b/>
          <w:bCs/>
          <w:color w:val="595959" w:themeColor="text1" w:themeTint="A6"/>
          <w:lang w:eastAsia="en-US"/>
        </w:rPr>
        <w:t>Convictions</w:t>
      </w:r>
      <w:bookmarkEnd w:id="8"/>
      <w:r w:rsidR="005C5FDD" w:rsidRPr="008A5C02">
        <w:rPr>
          <w:rFonts w:eastAsia="Calibri"/>
          <w:b/>
          <w:bCs/>
          <w:color w:val="595959" w:themeColor="text1" w:themeTint="A6"/>
          <w:lang w:eastAsia="en-US"/>
        </w:rPr>
        <w:t xml:space="preserve"> </w:t>
      </w:r>
    </w:p>
    <w:p w14:paraId="72AF8D0B" w14:textId="25809FB8" w:rsidR="005C5FDD" w:rsidRPr="00FA31E3" w:rsidRDefault="005C5FD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FA31E3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University </w:t>
      </w:r>
      <w:r w:rsidR="003F7FC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considers the following </w:t>
      </w:r>
      <w:r w:rsidR="00207CC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types of offence as being relevant and as such, </w:t>
      </w:r>
      <w:r w:rsidR="00491376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any unspent convictions </w:t>
      </w:r>
      <w:r w:rsidR="0072384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for these </w:t>
      </w:r>
      <w:r w:rsidR="00727F6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types of </w:t>
      </w:r>
      <w:r w:rsidR="0072384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offence</w:t>
      </w:r>
      <w:r w:rsidRPr="00FA31E3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should be disclosed to the University</w:t>
      </w:r>
      <w:r w:rsidR="0072384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:</w:t>
      </w:r>
      <w:r w:rsidRPr="00FA31E3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7C451A47" w14:textId="57BC18B8" w:rsidR="00723849" w:rsidRDefault="005C5F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2384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Any kind of violence included (but not limited to)</w:t>
      </w:r>
      <w:r w:rsidR="00B26A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Pr="0072384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threatening behaviour, </w:t>
      </w:r>
      <w:r w:rsidR="009D63C6" w:rsidRPr="0072384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gender-based violence</w:t>
      </w:r>
      <w:r w:rsidR="009D63C6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</w:t>
      </w:r>
      <w:r w:rsidRPr="0072384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offences concerned with intention to harm or offences which resulted in actual bodily harm</w:t>
      </w:r>
      <w:r w:rsidR="00F10B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22E2F343" w14:textId="1E4DFEB7" w:rsidR="00F10BDD" w:rsidRDefault="005C5F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2384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Any sexual offences including those listed in the Sexual Offences Act 2003 or the Sexual Offences (Scotland) Act 2009</w:t>
      </w:r>
      <w:r w:rsidR="00F10B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231851AD" w14:textId="188562E4" w:rsidR="00F10BDD" w:rsidRPr="00371631" w:rsidRDefault="00F10BDD" w:rsidP="00957120">
      <w:pPr>
        <w:pStyle w:val="MCnumberedpara"/>
        <w:numPr>
          <w:ilvl w:val="0"/>
          <w:numId w:val="39"/>
        </w:numPr>
        <w:spacing w:before="0" w:after="0" w:line="276" w:lineRule="auto"/>
        <w:ind w:left="1134" w:hanging="425"/>
        <w:rPr>
          <w:rFonts w:eastAsia="Calibri"/>
          <w:color w:val="595959" w:themeColor="text1" w:themeTint="A6"/>
          <w:sz w:val="24"/>
          <w:szCs w:val="24"/>
        </w:rPr>
      </w:pPr>
      <w:r>
        <w:rPr>
          <w:rFonts w:eastAsia="Calibri"/>
          <w:color w:val="595959" w:themeColor="text1" w:themeTint="A6"/>
          <w:sz w:val="24"/>
          <w:szCs w:val="24"/>
        </w:rPr>
        <w:t>A</w:t>
      </w:r>
      <w:r w:rsidRPr="00F10BDD">
        <w:rPr>
          <w:rFonts w:eastAsia="Calibri"/>
          <w:color w:val="595959" w:themeColor="text1" w:themeTint="A6"/>
          <w:sz w:val="24"/>
          <w:szCs w:val="24"/>
        </w:rPr>
        <w:t>ny offences listed in the Hate Crime and Public Order (Scotland) Act 2021.</w:t>
      </w:r>
    </w:p>
    <w:p w14:paraId="48332934" w14:textId="77777777" w:rsidR="00371631" w:rsidRDefault="00F10B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unlawful </w:t>
      </w:r>
      <w:r w:rsidR="005C5FDD" w:rsidRPr="00F10B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supply of controlled substances</w:t>
      </w:r>
      <w:r w:rsidR="0037163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where the conviction charge concerns </w:t>
      </w:r>
      <w:r w:rsidR="005C5FDD" w:rsidRPr="00F10B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commercial drug dealing or trafficking</w:t>
      </w:r>
      <w:r w:rsidR="0037163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  <w:r w:rsidR="005C5FDD" w:rsidRPr="00F10B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3B74CB71" w14:textId="2F0B3F06" w:rsidR="009D63C6" w:rsidRDefault="009D63C6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Any kind of harassment </w:t>
      </w:r>
      <w:r w:rsidR="0041790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including (but not limited to) stalking</w:t>
      </w:r>
      <w:r w:rsidR="00E351D6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6A3332E7" w14:textId="1717CC86" w:rsidR="004B1B1A" w:rsidRDefault="004B1B1A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Offences listed in the Terrorism Act 2006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2341E85C" w14:textId="677A2F7F" w:rsidR="009D63C6" w:rsidRPr="009D63C6" w:rsidRDefault="004B1B1A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Offences listed in Schedule 1 to the Protection of Vulnerable Groups (Scotland) Act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16AF672A" w14:textId="79F07F8D" w:rsidR="00B26ACB" w:rsidRPr="00B26ACB" w:rsidRDefault="00B26ACB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B26A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Offences involving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s</w:t>
      </w:r>
      <w:r w:rsidRPr="00B26A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talking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16AF94CA" w14:textId="070DE5A8" w:rsidR="00371631" w:rsidRPr="00371631" w:rsidRDefault="005C5F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Offences involving </w:t>
      </w:r>
      <w:r w:rsidR="00371631"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rson</w:t>
      </w:r>
      <w:r w:rsid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652B341E" w14:textId="3B30219E" w:rsidR="00371631" w:rsidRPr="00371631" w:rsidRDefault="005C5F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Offences involving </w:t>
      </w:r>
      <w:r w:rsidR="00371631"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heft</w:t>
      </w:r>
      <w:r w:rsid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31CC28A7" w14:textId="40867E18" w:rsidR="00766FDD" w:rsidRDefault="005C5F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Offences involving </w:t>
      </w:r>
      <w:r w:rsidR="00371631"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f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irearms</w:t>
      </w:r>
      <w:r w:rsid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118A2613" w14:textId="02A03471" w:rsidR="00766FDD" w:rsidRDefault="005C5F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Offences involving </w:t>
      </w:r>
      <w:r w:rsid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f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raud or </w:t>
      </w:r>
      <w:r w:rsid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e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mbezzlement</w:t>
      </w:r>
      <w:r w:rsid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1939D483" w14:textId="57087EBC" w:rsidR="00766FDD" w:rsidRDefault="005C5F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Offences listed in the Bribery Act 2010</w:t>
      </w:r>
      <w:r w:rsid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626D6F77" w14:textId="7BF2C82A" w:rsidR="004B1B1A" w:rsidRDefault="005C5F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Offences in the Criminal Finances Act 2017</w:t>
      </w:r>
      <w:r w:rsid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  <w:r w:rsidRPr="00766FD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406920EA" w14:textId="3B13D1E4" w:rsidR="005C5FDD" w:rsidRDefault="005C5FDD" w:rsidP="00957120">
      <w:pPr>
        <w:pStyle w:val="ListParagraph"/>
        <w:numPr>
          <w:ilvl w:val="0"/>
          <w:numId w:val="39"/>
        </w:numPr>
        <w:spacing w:after="0"/>
        <w:ind w:left="1134" w:hanging="425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Offences listed in the Computer Misuse Act 1990</w:t>
      </w:r>
      <w:r w:rsid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  <w:r w:rsidRPr="004B1B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0267EE13" w14:textId="77777777" w:rsidR="00764F91" w:rsidRPr="00764F91" w:rsidRDefault="00764F91" w:rsidP="00957120">
      <w:pPr>
        <w:pStyle w:val="ListParagraph"/>
        <w:spacing w:after="0"/>
        <w:ind w:left="1134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23793B8C" w14:textId="77777777" w:rsidR="00E24384" w:rsidRDefault="00E24384" w:rsidP="00957120">
      <w:pPr>
        <w:spacing w:after="0"/>
        <w:rPr>
          <w:rFonts w:asciiTheme="majorHAnsi" w:eastAsia="Times New Roman" w:hAnsiTheme="majorHAnsi" w:cstheme="majorBidi"/>
          <w:b/>
          <w:color w:val="595959" w:themeColor="text1" w:themeTint="A6"/>
          <w:sz w:val="28"/>
          <w:szCs w:val="28"/>
          <w:lang w:val="en-US"/>
        </w:rPr>
      </w:pPr>
    </w:p>
    <w:p w14:paraId="40313F5A" w14:textId="1B6077BC" w:rsidR="004314C9" w:rsidRDefault="00D268E7" w:rsidP="00957120">
      <w:pPr>
        <w:pStyle w:val="Heading2"/>
        <w:spacing w:before="0"/>
        <w:jc w:val="both"/>
        <w:rPr>
          <w:rFonts w:eastAsia="Times New Roman"/>
          <w:b/>
          <w:color w:val="595959" w:themeColor="text1" w:themeTint="A6"/>
          <w:sz w:val="28"/>
          <w:szCs w:val="28"/>
          <w:lang w:val="en-US"/>
        </w:rPr>
      </w:pPr>
      <w:bookmarkStart w:id="9" w:name="_Toc137476772"/>
      <w:r w:rsidRPr="00D268E7">
        <w:rPr>
          <w:rFonts w:eastAsia="Times New Roman"/>
          <w:b/>
          <w:color w:val="595959" w:themeColor="text1" w:themeTint="A6"/>
          <w:sz w:val="28"/>
          <w:szCs w:val="28"/>
          <w:lang w:val="en-US"/>
        </w:rPr>
        <w:t>Procedure</w:t>
      </w:r>
      <w:bookmarkEnd w:id="9"/>
    </w:p>
    <w:p w14:paraId="5EDE2BEE" w14:textId="3BB692B0" w:rsidR="004314C9" w:rsidRPr="00957120" w:rsidRDefault="00957120" w:rsidP="00957120">
      <w:pPr>
        <w:pStyle w:val="Heading3"/>
        <w:spacing w:before="0"/>
        <w:rPr>
          <w:rFonts w:eastAsia="Calibri"/>
          <w:b/>
          <w:bCs/>
          <w:color w:val="595959" w:themeColor="text1" w:themeTint="A6"/>
          <w:lang w:eastAsia="en-US"/>
        </w:rPr>
      </w:pPr>
      <w:bookmarkStart w:id="10" w:name="_Toc137476773"/>
      <w:r w:rsidRPr="00FA31E3">
        <w:rPr>
          <w:rFonts w:eastAsia="Calibri"/>
          <w:b/>
          <w:bCs/>
          <w:color w:val="595959" w:themeColor="text1" w:themeTint="A6"/>
          <w:lang w:eastAsia="en-US"/>
        </w:rPr>
        <w:t>General</w:t>
      </w:r>
      <w:bookmarkEnd w:id="10"/>
    </w:p>
    <w:p w14:paraId="5DA3F0F8" w14:textId="39E3A810" w:rsidR="00957120" w:rsidRDefault="004314C9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0B380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Where an applicant or student is in any doubt as to </w:t>
      </w:r>
      <w:proofErr w:type="gramStart"/>
      <w:r w:rsidRPr="000B380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whether or not</w:t>
      </w:r>
      <w:proofErr w:type="gramEnd"/>
      <w:r w:rsidRPr="000B380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 unspent criminal conviction is relevant, informal advice may be sought from the University via: </w:t>
      </w:r>
      <w:hyperlink r:id="rId13" w:history="1">
        <w:r w:rsidRPr="00B37E8C">
          <w:rPr>
            <w:rStyle w:val="Hyperlink"/>
            <w:rFonts w:ascii="Calibri" w:eastAsia="Calibri" w:hAnsi="Calibri" w:cs="Calibri"/>
            <w:sz w:val="24"/>
            <w:szCs w:val="24"/>
            <w:lang w:eastAsia="en-US"/>
          </w:rPr>
          <w:t>studentconduct@stir.ac.uk</w:t>
        </w:r>
      </w:hyperlink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0A474060" w14:textId="77777777" w:rsidR="00957120" w:rsidRDefault="00957120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331504D1" w14:textId="6BF470F9" w:rsidR="00957120" w:rsidRPr="00957120" w:rsidRDefault="004314C9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bookmarkStart w:id="11" w:name="_Hlk140769756"/>
      <w:r w:rsidRPr="0095712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 range of information can also be sought externally to the University via the</w:t>
      </w:r>
      <w:r w:rsidR="00957120" w:rsidRPr="0095712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se</w:t>
      </w:r>
      <w:r w:rsidRPr="0095712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organisations </w:t>
      </w:r>
      <w:r w:rsidR="00957120" w:rsidRPr="0095712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Disclosure Scotland:</w:t>
      </w:r>
      <w:r w:rsidR="00957120" w:rsidRPr="00957120">
        <w:rPr>
          <w:sz w:val="24"/>
          <w:szCs w:val="24"/>
          <w:lang w:val="en-US"/>
        </w:rPr>
        <w:t xml:space="preserve"> </w:t>
      </w:r>
      <w:hyperlink r:id="rId14" w:history="1">
        <w:r w:rsidR="00957120" w:rsidRPr="00957120">
          <w:rPr>
            <w:rStyle w:val="Hyperlink"/>
            <w:sz w:val="24"/>
            <w:szCs w:val="24"/>
          </w:rPr>
          <w:t xml:space="preserve">Disclosure Scotland - </w:t>
        </w:r>
        <w:proofErr w:type="gramStart"/>
        <w:r w:rsidR="00957120" w:rsidRPr="00957120">
          <w:rPr>
            <w:rStyle w:val="Hyperlink"/>
            <w:sz w:val="24"/>
            <w:szCs w:val="24"/>
          </w:rPr>
          <w:t>mygov.scot</w:t>
        </w:r>
        <w:proofErr w:type="gramEnd"/>
      </w:hyperlink>
    </w:p>
    <w:p w14:paraId="60C5E633" w14:textId="77777777" w:rsidR="00957120" w:rsidRDefault="00957120" w:rsidP="00957120">
      <w:pPr>
        <w:pStyle w:val="ListParagraph"/>
        <w:spacing w:after="0"/>
        <w:ind w:left="426"/>
        <w:rPr>
          <w:sz w:val="24"/>
          <w:szCs w:val="24"/>
        </w:rPr>
      </w:pPr>
      <w:r w:rsidRPr="0095712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Citizens Advice Scotland:</w:t>
      </w:r>
      <w:r w:rsidRPr="00957120">
        <w:rPr>
          <w:sz w:val="24"/>
          <w:szCs w:val="24"/>
        </w:rPr>
        <w:t xml:space="preserve"> </w:t>
      </w:r>
      <w:hyperlink r:id="rId15" w:history="1">
        <w:r w:rsidRPr="00957120">
          <w:rPr>
            <w:rStyle w:val="Hyperlink"/>
            <w:sz w:val="24"/>
            <w:szCs w:val="24"/>
          </w:rPr>
          <w:t>Citizens Advice Scotland (cas.org.uk)</w:t>
        </w:r>
      </w:hyperlink>
    </w:p>
    <w:p w14:paraId="15D155AB" w14:textId="06EA2CD0" w:rsidR="00957120" w:rsidRPr="00957120" w:rsidRDefault="00957120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95712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Nacro:</w:t>
      </w:r>
      <w:r w:rsidRPr="00957120">
        <w:rPr>
          <w:sz w:val="24"/>
          <w:szCs w:val="24"/>
        </w:rPr>
        <w:t xml:space="preserve"> </w:t>
      </w:r>
      <w:hyperlink r:id="rId16" w:history="1">
        <w:r w:rsidRPr="00957120">
          <w:rPr>
            <w:rStyle w:val="Hyperlink"/>
            <w:sz w:val="24"/>
            <w:szCs w:val="24"/>
          </w:rPr>
          <w:t>Applying for university and school | Criminal Record Advice | Nacro</w:t>
        </w:r>
      </w:hyperlink>
    </w:p>
    <w:bookmarkEnd w:id="11"/>
    <w:p w14:paraId="217B793C" w14:textId="77777777" w:rsidR="004314C9" w:rsidRDefault="004314C9" w:rsidP="00957120">
      <w:pPr>
        <w:spacing w:after="0"/>
        <w:rPr>
          <w:rFonts w:eastAsia="Calibri"/>
          <w:lang w:eastAsia="en-US"/>
        </w:rPr>
      </w:pPr>
    </w:p>
    <w:p w14:paraId="75EB64AD" w14:textId="3C5845D3" w:rsidR="00C722D6" w:rsidRPr="00C722D6" w:rsidRDefault="00C722D6" w:rsidP="00957120">
      <w:pPr>
        <w:pStyle w:val="Heading3"/>
        <w:spacing w:before="0"/>
        <w:rPr>
          <w:rFonts w:eastAsia="Calibri"/>
          <w:b/>
          <w:bCs/>
          <w:color w:val="595959" w:themeColor="text1" w:themeTint="A6"/>
          <w:lang w:eastAsia="en-US"/>
        </w:rPr>
      </w:pPr>
      <w:bookmarkStart w:id="12" w:name="_Toc137476774"/>
      <w:r w:rsidRPr="00C722D6">
        <w:rPr>
          <w:rFonts w:eastAsia="Calibri"/>
          <w:b/>
          <w:bCs/>
          <w:color w:val="595959" w:themeColor="text1" w:themeTint="A6"/>
          <w:lang w:eastAsia="en-US"/>
        </w:rPr>
        <w:t>Applicants</w:t>
      </w:r>
      <w:bookmarkEnd w:id="12"/>
    </w:p>
    <w:p w14:paraId="01DEF3FC" w14:textId="6DB3313F" w:rsidR="006A7D76" w:rsidRDefault="00E1788A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Where </w:t>
      </w:r>
      <w:r w:rsidR="0066522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an applicant applies for a programme which is</w:t>
      </w:r>
      <w:r w:rsidR="00665221" w:rsidRPr="00172FA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exempt from the Rehabilitation of Offenders Act 1974</w:t>
      </w:r>
      <w:r w:rsidR="0066522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(see paragraph 8), t</w:t>
      </w:r>
      <w:r w:rsidR="005C5FDD" w:rsidRPr="008F7F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he University </w:t>
      </w:r>
      <w:r w:rsidR="00435A8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requests information</w:t>
      </w:r>
      <w:r w:rsidR="005C5FDD" w:rsidRPr="008F7F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about any </w:t>
      </w:r>
      <w:r w:rsidR="00435A8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relevant c</w:t>
      </w:r>
      <w:r w:rsidR="005C5FDD" w:rsidRPr="008F7F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riminal </w:t>
      </w:r>
      <w:r w:rsidR="00435A8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c</w:t>
      </w:r>
      <w:r w:rsidR="005C5FDD" w:rsidRPr="008F7F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onvictions</w:t>
      </w:r>
      <w:r w:rsidR="00435A8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="005C5FDD" w:rsidRPr="008F7F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when </w:t>
      </w:r>
      <w:r w:rsidR="005850E6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the application is received</w:t>
      </w:r>
      <w:r w:rsidR="00B41E5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and seeks a</w:t>
      </w:r>
      <w:r w:rsidR="005C5FDD" w:rsidRPr="008F7F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P</w:t>
      </w:r>
      <w:r w:rsidR="00B41E5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VG membership</w:t>
      </w:r>
      <w:r w:rsidR="005C5FDD" w:rsidRPr="008F7F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application</w:t>
      </w:r>
      <w:r w:rsidR="00B41E5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to be completed by the applicant.</w:t>
      </w:r>
      <w:r w:rsidR="005C5FDD" w:rsidRPr="008F7F1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</w:p>
    <w:p w14:paraId="3D48710E" w14:textId="77777777" w:rsidR="00B41E51" w:rsidRPr="00B41E51" w:rsidRDefault="00B41E51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4E17CB4C" w14:textId="68250500" w:rsidR="006A7D76" w:rsidRDefault="006A7D76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For all applicants</w:t>
      </w:r>
      <w:r w:rsidR="00D67FD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other than those applying for a programme which is</w:t>
      </w:r>
      <w:r w:rsidR="00D67FDC" w:rsidRPr="00172FA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exempt from the Rehabilitation of Offenders Act 1974</w:t>
      </w:r>
      <w:r w:rsidR="00D67FD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, where the University makes a</w:t>
      </w:r>
      <w:r w:rsidR="00A8349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n</w:t>
      </w:r>
      <w:r w:rsidR="00D67FD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offer for admission, whether conditional or unconditional, </w:t>
      </w:r>
      <w:r w:rsidR="003B4E5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the applicant will be asked to declare whether they have any relevant unspent criminal convictions</w:t>
      </w:r>
      <w:r w:rsidR="00357F5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shortly after the offer is issued. </w:t>
      </w:r>
    </w:p>
    <w:p w14:paraId="1636BB14" w14:textId="77777777" w:rsidR="004E25B0" w:rsidRPr="004E25B0" w:rsidRDefault="004E25B0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7D7C9A14" w14:textId="2740D7B8" w:rsidR="00346319" w:rsidRDefault="004E25B0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In respect of all </w:t>
      </w:r>
      <w:r w:rsidR="004A203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relevant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criminal </w:t>
      </w:r>
      <w:proofErr w:type="gramStart"/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conviction</w:t>
      </w:r>
      <w:r w:rsidR="00764F9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s</w:t>
      </w:r>
      <w:proofErr w:type="gramEnd"/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declarations, </w:t>
      </w:r>
      <w:r w:rsidR="00AF2F5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information provided </w:t>
      </w:r>
      <w:r w:rsidR="005C5FDD" w:rsidRPr="000D29B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will be considered with regard to an applicant or offer holder’s suitability to join the </w:t>
      </w:r>
      <w:r w:rsidR="00AF2F5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p</w:t>
      </w:r>
      <w:r w:rsidR="005C5FDD" w:rsidRPr="000D29B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rofession</w:t>
      </w:r>
      <w:r w:rsidR="00AF2F5F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that the programme of study relates to</w:t>
      </w:r>
      <w:r w:rsidR="00A22F8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, and </w:t>
      </w:r>
      <w:r w:rsidR="008D04BE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to join the University community as a student</w:t>
      </w:r>
      <w:r w:rsidR="005C5FDD" w:rsidRPr="000D29BD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. </w:t>
      </w:r>
    </w:p>
    <w:p w14:paraId="302FEA34" w14:textId="77777777" w:rsidR="00346319" w:rsidRDefault="00346319" w:rsidP="00957120">
      <w:pPr>
        <w:pStyle w:val="ListParagraph"/>
        <w:spacing w:after="0"/>
      </w:pPr>
    </w:p>
    <w:p w14:paraId="0EE197E4" w14:textId="1F25FB48" w:rsidR="00346319" w:rsidRPr="00027EB4" w:rsidRDefault="00C767A0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Where a relevant criminal conviction is declared, r</w:t>
      </w:r>
      <w:r w:rsidR="00D74CC8" w:rsidRP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isk assessment is undertaken </w:t>
      </w:r>
      <w:r w:rsidRP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by the Student Conduct and Casework team </w:t>
      </w:r>
      <w:r w:rsidR="007E4931" w:rsidRP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to inform consideration of the declaration and </w:t>
      </w:r>
      <w:r w:rsidR="00027EB4" w:rsidRP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decision-making on the suitability of the applicant, </w:t>
      </w:r>
      <w:proofErr w:type="gramStart"/>
      <w:r w:rsidR="00027EB4" w:rsidRP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in light of</w:t>
      </w:r>
      <w:proofErr w:type="gramEnd"/>
      <w:r w:rsidR="00027EB4" w:rsidRP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the declaration. </w:t>
      </w:r>
    </w:p>
    <w:p w14:paraId="7F8CBF72" w14:textId="77777777" w:rsidR="00346319" w:rsidRPr="00346319" w:rsidRDefault="00346319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13E14773" w14:textId="63CDDBC4" w:rsidR="007362E9" w:rsidRDefault="0085276B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Relevant c</w:t>
      </w:r>
      <w:r w:rsidR="005C5FDD" w:rsidRPr="0085276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onvictions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="005C5FDD" w:rsidRPr="0085276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disclosed </w:t>
      </w:r>
      <w:r w:rsidR="00FD23B2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to the University </w:t>
      </w:r>
      <w:r w:rsidR="007441B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are</w:t>
      </w:r>
      <w:r w:rsidR="005C5FDD" w:rsidRPr="0085276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considered by appropriate senior staff such as the Deputy Principal (Education and Students), Deputy Secretary and Academic Registrar.</w:t>
      </w:r>
      <w:r w:rsid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="00027EB4" w:rsidRPr="0034631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In respect of applicants</w:t>
      </w:r>
      <w:r w:rsid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to a p</w:t>
      </w:r>
      <w:r w:rsidR="00027EB4" w:rsidRPr="0034631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rogramme</w:t>
      </w:r>
      <w:r w:rsid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</w:t>
      </w:r>
      <w:r w:rsidR="00027EB4" w:rsidRPr="0034631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hat </w:t>
      </w:r>
      <w:r w:rsidR="00027EB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is</w:t>
      </w:r>
      <w:r w:rsidR="00027EB4" w:rsidRPr="0034631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exempt from the Rehabilitation of Offenders Act 1974, </w:t>
      </w:r>
      <w:r w:rsidR="007362E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the consideration will also include</w:t>
      </w:r>
      <w:r w:rsidR="00027EB4" w:rsidRPr="0034631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the Dean of Faculty</w:t>
      </w:r>
      <w:r w:rsidR="007362E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or their appropriate nominee.</w:t>
      </w:r>
    </w:p>
    <w:p w14:paraId="447ECD23" w14:textId="77777777" w:rsidR="007362E9" w:rsidRDefault="007362E9" w:rsidP="00957120">
      <w:pPr>
        <w:pStyle w:val="ListParagraph"/>
        <w:spacing w:after="0"/>
      </w:pPr>
    </w:p>
    <w:p w14:paraId="472A762D" w14:textId="790FA4AC" w:rsidR="00057185" w:rsidRPr="00A3093C" w:rsidRDefault="005C5FD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7362E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The outcome of the consideration</w:t>
      </w:r>
      <w:r w:rsidR="007362E9" w:rsidRPr="007362E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of the declared information</w:t>
      </w:r>
      <w:r w:rsidRPr="007362E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will be one of the following decisions:</w:t>
      </w:r>
    </w:p>
    <w:p w14:paraId="4BF9DCBB" w14:textId="77777777" w:rsidR="006D26D9" w:rsidRDefault="00057185" w:rsidP="00957120">
      <w:pPr>
        <w:pStyle w:val="ListParagraph"/>
        <w:numPr>
          <w:ilvl w:val="0"/>
          <w:numId w:val="41"/>
        </w:numPr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bookmarkStart w:id="13" w:name="_Hlk140769263"/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</w:t>
      </w:r>
      <w:r w:rsidR="005C5FDD" w:rsidRPr="00057185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dditional information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is required from the applicant</w:t>
      </w:r>
      <w:r w:rsidR="005C5FDD" w:rsidRPr="00057185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or a third party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before a substantive dec</w:t>
      </w:r>
      <w:r w:rsidR="006D26D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ision can be made.</w:t>
      </w:r>
    </w:p>
    <w:p w14:paraId="563E48A0" w14:textId="77777777" w:rsidR="006D26D9" w:rsidRDefault="005C5FDD" w:rsidP="00957120">
      <w:pPr>
        <w:pStyle w:val="ListParagraph"/>
        <w:numPr>
          <w:ilvl w:val="0"/>
          <w:numId w:val="41"/>
        </w:numPr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6D26D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applicant is suitable to join the University community / the </w:t>
      </w:r>
      <w:r w:rsidR="006D26D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p</w:t>
      </w:r>
      <w:r w:rsidRPr="006D26D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rofession</w:t>
      </w:r>
      <w:r w:rsidR="006D26D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1BD56A95" w14:textId="77777777" w:rsidR="008A00DA" w:rsidRDefault="005C5FDD" w:rsidP="00957120">
      <w:pPr>
        <w:pStyle w:val="ListParagraph"/>
        <w:numPr>
          <w:ilvl w:val="0"/>
          <w:numId w:val="41"/>
        </w:numPr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6D26D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applicant is suitable to join the University community / the </w:t>
      </w:r>
      <w:r w:rsidR="008A00D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p</w:t>
      </w:r>
      <w:r w:rsidRPr="006D26D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rofession</w:t>
      </w:r>
      <w:r w:rsidR="008A00D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but only </w:t>
      </w:r>
      <w:r w:rsidRPr="006D26D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with certain conditions or restrictions. </w:t>
      </w:r>
    </w:p>
    <w:p w14:paraId="3B62BD05" w14:textId="1C4B7288" w:rsidR="005C5FDD" w:rsidRDefault="005C5FDD" w:rsidP="00957120">
      <w:pPr>
        <w:pStyle w:val="ListParagraph"/>
        <w:numPr>
          <w:ilvl w:val="0"/>
          <w:numId w:val="41"/>
        </w:numPr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8A00D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applicant is unsuitable to join the University community / the </w:t>
      </w:r>
      <w:r w:rsidR="008A00DA" w:rsidRPr="008A00D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p</w:t>
      </w:r>
      <w:r w:rsidRPr="008A00D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rofession</w:t>
      </w:r>
      <w:r w:rsidR="008A00DA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p w14:paraId="38AC3848" w14:textId="77777777" w:rsidR="001639CB" w:rsidRPr="008A00DA" w:rsidRDefault="001639CB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55FA31CC" w14:textId="4760C243" w:rsidR="005C5FDD" w:rsidRDefault="005C5FD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Where </w:t>
      </w:r>
      <w:r w:rsid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it is decided that </w:t>
      </w:r>
      <w:r w:rsidRP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an applicant </w:t>
      </w:r>
      <w:r w:rsid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is</w:t>
      </w:r>
      <w:r w:rsidRP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unsuitable to join the University community or be a member of </w:t>
      </w:r>
      <w:r w:rsid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the</w:t>
      </w:r>
      <w:r w:rsidRP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relevant </w:t>
      </w:r>
      <w:r w:rsidRP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profession, Admissions and Access will withdraw the application or offer of a place</w:t>
      </w:r>
      <w:r w:rsidR="00A3093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and </w:t>
      </w:r>
      <w:r w:rsidRP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applicant will not be entitled to enrol as a student </w:t>
      </w:r>
      <w:proofErr w:type="gramStart"/>
      <w:r w:rsidRP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of</w:t>
      </w:r>
      <w:proofErr w:type="gramEnd"/>
      <w:r w:rsidRPr="001639C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the University. </w:t>
      </w:r>
    </w:p>
    <w:bookmarkEnd w:id="13"/>
    <w:p w14:paraId="35DC7FC9" w14:textId="77777777" w:rsidR="00A3093C" w:rsidRPr="001639CB" w:rsidRDefault="00A3093C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16F29B1D" w14:textId="1C209E39" w:rsidR="00B17040" w:rsidRDefault="005C5FDD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 w:rsidRPr="00A3093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Applicants may appeal against a decision</w:t>
      </w:r>
      <w:r w:rsidR="00B41E51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made through this procedure only</w:t>
      </w:r>
      <w:r w:rsidRPr="00A3093C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if there is significant additional information, which for good reason was not made available at the time of the decision and is directly relevant to the decision. </w:t>
      </w:r>
    </w:p>
    <w:p w14:paraId="563ACEEF" w14:textId="77777777" w:rsidR="00B41E51" w:rsidRPr="00B41E51" w:rsidRDefault="00B41E51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4E9571C7" w14:textId="11645646" w:rsidR="00B41E51" w:rsidRPr="00B41E51" w:rsidRDefault="00B41E51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Any such appeal should be prepared in writing and directed to </w:t>
      </w:r>
      <w:hyperlink r:id="rId17" w:history="1">
        <w:r w:rsidR="002070F4" w:rsidRPr="00181174">
          <w:rPr>
            <w:rStyle w:val="Hyperlink"/>
            <w:rFonts w:ascii="Calibri" w:eastAsia="Calibri" w:hAnsi="Calibri" w:cs="Calibri"/>
            <w:sz w:val="24"/>
            <w:szCs w:val="24"/>
            <w:lang w:eastAsia="en-US"/>
          </w:rPr>
          <w:t>appeals@stir.ac.uk</w:t>
        </w:r>
      </w:hyperlink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. </w:t>
      </w:r>
    </w:p>
    <w:p w14:paraId="2C32B947" w14:textId="77777777" w:rsidR="00B17040" w:rsidRPr="00B17040" w:rsidRDefault="00B17040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highlight w:val="yellow"/>
          <w:lang w:eastAsia="en-US"/>
        </w:rPr>
      </w:pPr>
    </w:p>
    <w:p w14:paraId="4A43211A" w14:textId="77777777" w:rsidR="00B17040" w:rsidRPr="00B17040" w:rsidRDefault="00B17040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highlight w:val="yellow"/>
          <w:lang w:eastAsia="en-US"/>
        </w:rPr>
      </w:pPr>
    </w:p>
    <w:p w14:paraId="31FDD962" w14:textId="77777777" w:rsidR="005C5FDD" w:rsidRPr="0095548D" w:rsidRDefault="005C5FDD" w:rsidP="00957120">
      <w:pPr>
        <w:pStyle w:val="Heading3"/>
        <w:spacing w:before="0"/>
        <w:rPr>
          <w:rFonts w:eastAsia="Calibri"/>
          <w:b/>
          <w:bCs/>
          <w:color w:val="595959" w:themeColor="text1" w:themeTint="A6"/>
          <w:lang w:eastAsia="en-US"/>
        </w:rPr>
      </w:pPr>
      <w:bookmarkStart w:id="14" w:name="_Toc137476775"/>
      <w:r w:rsidRPr="0095548D">
        <w:rPr>
          <w:rFonts w:eastAsia="Calibri"/>
          <w:b/>
          <w:bCs/>
          <w:color w:val="595959" w:themeColor="text1" w:themeTint="A6"/>
          <w:lang w:eastAsia="en-US"/>
        </w:rPr>
        <w:t>Students</w:t>
      </w:r>
      <w:bookmarkEnd w:id="14"/>
      <w:r w:rsidRPr="0095548D">
        <w:rPr>
          <w:rFonts w:eastAsia="Calibri"/>
          <w:b/>
          <w:bCs/>
          <w:color w:val="595959" w:themeColor="text1" w:themeTint="A6"/>
          <w:lang w:eastAsia="en-US"/>
        </w:rPr>
        <w:t xml:space="preserve"> </w:t>
      </w:r>
    </w:p>
    <w:p w14:paraId="7570B2DB" w14:textId="56C66021" w:rsidR="003D1EDB" w:rsidRDefault="0008678C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Current students are required to inform the University of any relevant criminal convictions </w:t>
      </w:r>
      <w:r w:rsidR="00805F53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they receive once they have been admitted to the University. On a continuing basis, students can provide such information to the University via </w:t>
      </w:r>
      <w:hyperlink r:id="rId18" w:history="1">
        <w:r w:rsidR="00805F53" w:rsidRPr="00B37E8C">
          <w:rPr>
            <w:rStyle w:val="Hyperlink"/>
            <w:rFonts w:ascii="Calibri" w:eastAsia="Calibri" w:hAnsi="Calibri" w:cs="Calibri"/>
            <w:sz w:val="24"/>
            <w:szCs w:val="24"/>
            <w:lang w:eastAsia="en-US"/>
          </w:rPr>
          <w:t>studentconduct@stir.ac.uk</w:t>
        </w:r>
      </w:hyperlink>
      <w:r w:rsidR="00805F53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. </w:t>
      </w:r>
    </w:p>
    <w:p w14:paraId="200FEB9F" w14:textId="77777777" w:rsidR="003D1EDB" w:rsidRDefault="003D1EDB" w:rsidP="00957120">
      <w:pPr>
        <w:pStyle w:val="ListParagraph"/>
        <w:spacing w:after="0"/>
        <w:ind w:left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344E3919" w14:textId="77777777" w:rsidR="002070F4" w:rsidRDefault="003D1EDB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In addition, as part of the annual enrolment process, current students </w:t>
      </w:r>
      <w:r w:rsidR="002070F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are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asked to declare any relevant unspent criminal convictions</w:t>
      </w:r>
      <w:r w:rsidR="00121A18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. </w:t>
      </w:r>
    </w:p>
    <w:p w14:paraId="37F144DB" w14:textId="77777777" w:rsidR="002070F4" w:rsidRPr="002070F4" w:rsidRDefault="002070F4" w:rsidP="00957120">
      <w:pPr>
        <w:pStyle w:val="ListParagraph"/>
        <w:spacing w:after="0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</w:p>
    <w:p w14:paraId="24FDC669" w14:textId="3F952DBF" w:rsidR="004314C9" w:rsidRPr="00957120" w:rsidRDefault="002070F4" w:rsidP="00957120">
      <w:pPr>
        <w:pStyle w:val="ListParagraph"/>
        <w:numPr>
          <w:ilvl w:val="0"/>
          <w:numId w:val="38"/>
        </w:numPr>
        <w:spacing w:after="0"/>
        <w:ind w:left="426" w:hanging="426"/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Relevant unspent c</w:t>
      </w:r>
      <w:r w:rsidRPr="0085276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onvictions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Pr="0085276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disclosed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to the University are</w:t>
      </w:r>
      <w:r w:rsidRPr="0085276B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considered </w:t>
      </w:r>
      <w:r w:rsidR="005C5FDD" w:rsidRPr="00B17040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in line with </w:t>
      </w:r>
      <w:hyperlink r:id="rId19" w:history="1">
        <w:r w:rsidR="005C5FDD" w:rsidRPr="00823591">
          <w:rPr>
            <w:rStyle w:val="Hyperlink"/>
            <w:rFonts w:ascii="Calibri" w:eastAsia="Calibri" w:hAnsi="Calibri" w:cs="Calibri"/>
            <w:sz w:val="24"/>
            <w:szCs w:val="24"/>
            <w:lang w:eastAsia="en-US"/>
          </w:rPr>
          <w:t>Ordinance 2, Code of Student Discipline</w:t>
        </w:r>
      </w:hyperlink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. As such, </w:t>
      </w:r>
      <w:r w:rsidRPr="00B34D3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the University will consider the most appropriate action in the circumstances, taking account of the information provided by the student, 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and </w:t>
      </w:r>
      <w:r w:rsidRPr="002070F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risk assessment undertaken by the Student Conduct and Casework team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,</w:t>
      </w:r>
      <w:r w:rsidRPr="002070F4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 xml:space="preserve"> </w:t>
      </w:r>
      <w:r w:rsidRPr="00B34D3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and proceed with action as appropriate</w:t>
      </w:r>
      <w:r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 This action may proceed under the provisions of Ordinance 2, or a Fitness to Practise procedure or both</w:t>
      </w:r>
      <w:r w:rsidRPr="00B34D39">
        <w:rPr>
          <w:rFonts w:ascii="Calibri" w:eastAsia="Calibri" w:hAnsi="Calibri" w:cs="Calibri"/>
          <w:color w:val="595959" w:themeColor="text1" w:themeTint="A6"/>
          <w:sz w:val="24"/>
          <w:szCs w:val="24"/>
          <w:lang w:eastAsia="en-US"/>
        </w:rPr>
        <w:t>.</w:t>
      </w:r>
    </w:p>
    <w:sectPr w:rsidR="004314C9" w:rsidRPr="00957120" w:rsidSect="003E29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84" w:right="127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DF3B" w14:textId="77777777" w:rsidR="00654D5A" w:rsidRDefault="00654D5A" w:rsidP="00462397">
      <w:pPr>
        <w:spacing w:after="0" w:line="240" w:lineRule="auto"/>
      </w:pPr>
      <w:r>
        <w:separator/>
      </w:r>
    </w:p>
  </w:endnote>
  <w:endnote w:type="continuationSeparator" w:id="0">
    <w:p w14:paraId="29D024F7" w14:textId="77777777" w:rsidR="00654D5A" w:rsidRDefault="00654D5A" w:rsidP="00462397">
      <w:pPr>
        <w:spacing w:after="0" w:line="240" w:lineRule="auto"/>
      </w:pPr>
      <w:r>
        <w:continuationSeparator/>
      </w:r>
    </w:p>
  </w:endnote>
  <w:endnote w:type="continuationNotice" w:id="1">
    <w:p w14:paraId="3DFA209E" w14:textId="77777777" w:rsidR="00654D5A" w:rsidRDefault="00654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FA96" w14:textId="77777777" w:rsidR="00574D1C" w:rsidRDefault="00574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314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E09092" w14:textId="703D9866" w:rsidR="001C7747" w:rsidRDefault="001C77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9A4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9A4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F9EC25" w14:textId="77777777" w:rsidR="001C7747" w:rsidRDefault="001C7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439C" w14:textId="77777777" w:rsidR="00574D1C" w:rsidRDefault="00574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E083" w14:textId="77777777" w:rsidR="00654D5A" w:rsidRDefault="00654D5A" w:rsidP="00462397">
      <w:pPr>
        <w:spacing w:after="0" w:line="240" w:lineRule="auto"/>
      </w:pPr>
      <w:r>
        <w:separator/>
      </w:r>
    </w:p>
  </w:footnote>
  <w:footnote w:type="continuationSeparator" w:id="0">
    <w:p w14:paraId="150ACAFE" w14:textId="77777777" w:rsidR="00654D5A" w:rsidRDefault="00654D5A" w:rsidP="00462397">
      <w:pPr>
        <w:spacing w:after="0" w:line="240" w:lineRule="auto"/>
      </w:pPr>
      <w:r>
        <w:continuationSeparator/>
      </w:r>
    </w:p>
  </w:footnote>
  <w:footnote w:type="continuationNotice" w:id="1">
    <w:p w14:paraId="37A5AE3E" w14:textId="77777777" w:rsidR="00654D5A" w:rsidRDefault="00654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6821" w14:textId="77777777" w:rsidR="00574D1C" w:rsidRDefault="00574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4CCD" w14:textId="65B53014" w:rsidR="001C7747" w:rsidRDefault="001C7747" w:rsidP="001E6520">
    <w:pPr>
      <w:ind w:left="4320" w:firstLine="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D1FC" w14:textId="65DF1906" w:rsidR="001C7747" w:rsidRDefault="001C774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C96AAFC" wp14:editId="37A7F31C">
          <wp:extent cx="2267329" cy="581025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573" cy="58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C8A"/>
    <w:multiLevelType w:val="multilevel"/>
    <w:tmpl w:val="76F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335B7"/>
    <w:multiLevelType w:val="multilevel"/>
    <w:tmpl w:val="E3A6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C043F"/>
    <w:multiLevelType w:val="multilevel"/>
    <w:tmpl w:val="5A6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4E49EC"/>
    <w:multiLevelType w:val="hybridMultilevel"/>
    <w:tmpl w:val="696857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A07DF"/>
    <w:multiLevelType w:val="multilevel"/>
    <w:tmpl w:val="2DCA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4078D"/>
    <w:multiLevelType w:val="hybridMultilevel"/>
    <w:tmpl w:val="B11C2854"/>
    <w:lvl w:ilvl="0" w:tplc="BCB62ED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3800"/>
    <w:multiLevelType w:val="multilevel"/>
    <w:tmpl w:val="405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B800DD"/>
    <w:multiLevelType w:val="hybridMultilevel"/>
    <w:tmpl w:val="1784A5B4"/>
    <w:lvl w:ilvl="0" w:tplc="57A2520E">
      <w:start w:val="1"/>
      <w:numFmt w:val="lowerLetter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B7110E"/>
    <w:multiLevelType w:val="hybridMultilevel"/>
    <w:tmpl w:val="DFF2FCAC"/>
    <w:lvl w:ilvl="0" w:tplc="CA92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5875"/>
    <w:multiLevelType w:val="hybridMultilevel"/>
    <w:tmpl w:val="8624A29C"/>
    <w:lvl w:ilvl="0" w:tplc="CA92D0D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EA66E3"/>
    <w:multiLevelType w:val="hybridMultilevel"/>
    <w:tmpl w:val="B2D057F8"/>
    <w:lvl w:ilvl="0" w:tplc="CA92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15B2"/>
    <w:multiLevelType w:val="hybridMultilevel"/>
    <w:tmpl w:val="94B468DE"/>
    <w:lvl w:ilvl="0" w:tplc="08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CD1857"/>
    <w:multiLevelType w:val="hybridMultilevel"/>
    <w:tmpl w:val="AAE6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037"/>
    <w:multiLevelType w:val="hybridMultilevel"/>
    <w:tmpl w:val="696857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7C7795"/>
    <w:multiLevelType w:val="multilevel"/>
    <w:tmpl w:val="BEF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430CAD"/>
    <w:multiLevelType w:val="hybridMultilevel"/>
    <w:tmpl w:val="07D0FB70"/>
    <w:lvl w:ilvl="0" w:tplc="CA92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0763"/>
    <w:multiLevelType w:val="multilevel"/>
    <w:tmpl w:val="080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00404A"/>
    <w:multiLevelType w:val="multilevel"/>
    <w:tmpl w:val="0BEC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162597"/>
    <w:multiLevelType w:val="hybridMultilevel"/>
    <w:tmpl w:val="72140D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0E88"/>
    <w:multiLevelType w:val="hybridMultilevel"/>
    <w:tmpl w:val="52D65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538B"/>
    <w:multiLevelType w:val="hybridMultilevel"/>
    <w:tmpl w:val="2B7A7582"/>
    <w:lvl w:ilvl="0" w:tplc="63F2B604">
      <w:start w:val="1"/>
      <w:numFmt w:val="decimal"/>
      <w:lvlText w:val="%1."/>
      <w:lvlJc w:val="left"/>
      <w:pPr>
        <w:ind w:left="6456" w:hanging="360"/>
      </w:pPr>
      <w:rPr>
        <w:rFonts w:asciiTheme="minorHAnsi" w:hAnsiTheme="minorHAnsi" w:cstheme="minorHAnsi" w:hint="default"/>
        <w:b w:val="0"/>
        <w:i w:val="0"/>
        <w:color w:val="595959" w:themeColor="text1" w:themeTint="A6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66B2"/>
    <w:multiLevelType w:val="hybridMultilevel"/>
    <w:tmpl w:val="F2228DAE"/>
    <w:lvl w:ilvl="0" w:tplc="CA92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83FD0"/>
    <w:multiLevelType w:val="hybridMultilevel"/>
    <w:tmpl w:val="696857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036710"/>
    <w:multiLevelType w:val="hybridMultilevel"/>
    <w:tmpl w:val="16FAE3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E66E9"/>
    <w:multiLevelType w:val="hybridMultilevel"/>
    <w:tmpl w:val="81225D78"/>
    <w:lvl w:ilvl="0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  <w:b w:val="0"/>
        <w:i w:val="0"/>
        <w:color w:val="595959" w:themeColor="text1" w:themeTint="A6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B4D41"/>
    <w:multiLevelType w:val="hybridMultilevel"/>
    <w:tmpl w:val="0C6A7F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87B4A"/>
    <w:multiLevelType w:val="hybridMultilevel"/>
    <w:tmpl w:val="174C17BC"/>
    <w:lvl w:ilvl="0" w:tplc="CA92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175B"/>
    <w:multiLevelType w:val="multilevel"/>
    <w:tmpl w:val="8A1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FD6716"/>
    <w:multiLevelType w:val="hybridMultilevel"/>
    <w:tmpl w:val="F38E5958"/>
    <w:lvl w:ilvl="0" w:tplc="08090019">
      <w:start w:val="1"/>
      <w:numFmt w:val="lowerLetter"/>
      <w:lvlText w:val="%1."/>
      <w:lvlJc w:val="left"/>
      <w:pPr>
        <w:ind w:left="6456" w:hanging="360"/>
      </w:pPr>
      <w:rPr>
        <w:rFonts w:hint="default"/>
        <w:b w:val="0"/>
        <w:i w:val="0"/>
        <w:color w:val="595959" w:themeColor="text1" w:themeTint="A6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F0D2A"/>
    <w:multiLevelType w:val="hybridMultilevel"/>
    <w:tmpl w:val="7AF23A00"/>
    <w:lvl w:ilvl="0" w:tplc="08090001">
      <w:start w:val="1"/>
      <w:numFmt w:val="bullet"/>
      <w:pStyle w:val="MCnumberedp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876EB"/>
    <w:multiLevelType w:val="multilevel"/>
    <w:tmpl w:val="C8A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6152E4"/>
    <w:multiLevelType w:val="multilevel"/>
    <w:tmpl w:val="85EC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0854C4"/>
    <w:multiLevelType w:val="hybridMultilevel"/>
    <w:tmpl w:val="358CB092"/>
    <w:lvl w:ilvl="0" w:tplc="CA92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B129C"/>
    <w:multiLevelType w:val="hybridMultilevel"/>
    <w:tmpl w:val="2BC0E7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740DB1"/>
    <w:multiLevelType w:val="hybridMultilevel"/>
    <w:tmpl w:val="F2EE4708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4C2297"/>
    <w:multiLevelType w:val="hybridMultilevel"/>
    <w:tmpl w:val="424855E0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A146A"/>
    <w:multiLevelType w:val="hybridMultilevel"/>
    <w:tmpl w:val="A8125384"/>
    <w:lvl w:ilvl="0" w:tplc="CA92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61E6B"/>
    <w:multiLevelType w:val="hybridMultilevel"/>
    <w:tmpl w:val="3E8263B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AA2B9B"/>
    <w:multiLevelType w:val="hybridMultilevel"/>
    <w:tmpl w:val="62362924"/>
    <w:lvl w:ilvl="0" w:tplc="B0426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A22C4"/>
    <w:multiLevelType w:val="multilevel"/>
    <w:tmpl w:val="F7A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866989"/>
    <w:multiLevelType w:val="hybridMultilevel"/>
    <w:tmpl w:val="DF72B8DE"/>
    <w:lvl w:ilvl="0" w:tplc="08090019">
      <w:start w:val="1"/>
      <w:numFmt w:val="lowerLetter"/>
      <w:lvlText w:val="%1."/>
      <w:lvlJc w:val="left"/>
      <w:pPr>
        <w:ind w:left="6456" w:hanging="360"/>
      </w:pPr>
      <w:rPr>
        <w:rFonts w:hint="default"/>
        <w:b w:val="0"/>
        <w:i w:val="0"/>
        <w:color w:val="595959" w:themeColor="text1" w:themeTint="A6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95768">
    <w:abstractNumId w:val="20"/>
  </w:num>
  <w:num w:numId="2" w16cid:durableId="1978365925">
    <w:abstractNumId w:val="29"/>
  </w:num>
  <w:num w:numId="3" w16cid:durableId="1022433562">
    <w:abstractNumId w:val="2"/>
  </w:num>
  <w:num w:numId="4" w16cid:durableId="754667720">
    <w:abstractNumId w:val="6"/>
  </w:num>
  <w:num w:numId="5" w16cid:durableId="1683318997">
    <w:abstractNumId w:val="1"/>
  </w:num>
  <w:num w:numId="6" w16cid:durableId="1320380003">
    <w:abstractNumId w:val="27"/>
  </w:num>
  <w:num w:numId="7" w16cid:durableId="879584583">
    <w:abstractNumId w:val="14"/>
  </w:num>
  <w:num w:numId="8" w16cid:durableId="1814371987">
    <w:abstractNumId w:val="17"/>
  </w:num>
  <w:num w:numId="9" w16cid:durableId="518588977">
    <w:abstractNumId w:val="31"/>
  </w:num>
  <w:num w:numId="10" w16cid:durableId="2019917436">
    <w:abstractNumId w:val="39"/>
  </w:num>
  <w:num w:numId="11" w16cid:durableId="186261868">
    <w:abstractNumId w:val="16"/>
  </w:num>
  <w:num w:numId="12" w16cid:durableId="716244626">
    <w:abstractNumId w:val="30"/>
  </w:num>
  <w:num w:numId="13" w16cid:durableId="1051727640">
    <w:abstractNumId w:val="19"/>
  </w:num>
  <w:num w:numId="14" w16cid:durableId="71126570">
    <w:abstractNumId w:val="8"/>
  </w:num>
  <w:num w:numId="15" w16cid:durableId="976691900">
    <w:abstractNumId w:val="37"/>
  </w:num>
  <w:num w:numId="16" w16cid:durableId="2040154589">
    <w:abstractNumId w:val="34"/>
  </w:num>
  <w:num w:numId="17" w16cid:durableId="1813643723">
    <w:abstractNumId w:val="18"/>
  </w:num>
  <w:num w:numId="18" w16cid:durableId="1561357304">
    <w:abstractNumId w:val="7"/>
  </w:num>
  <w:num w:numId="19" w16cid:durableId="1103067809">
    <w:abstractNumId w:val="11"/>
  </w:num>
  <w:num w:numId="20" w16cid:durableId="85228482">
    <w:abstractNumId w:val="35"/>
  </w:num>
  <w:num w:numId="21" w16cid:durableId="1494640040">
    <w:abstractNumId w:val="5"/>
  </w:num>
  <w:num w:numId="22" w16cid:durableId="1293369886">
    <w:abstractNumId w:val="26"/>
  </w:num>
  <w:num w:numId="23" w16cid:durableId="1279411958">
    <w:abstractNumId w:val="36"/>
  </w:num>
  <w:num w:numId="24" w16cid:durableId="1383366645">
    <w:abstractNumId w:val="10"/>
  </w:num>
  <w:num w:numId="25" w16cid:durableId="1349211127">
    <w:abstractNumId w:val="9"/>
  </w:num>
  <w:num w:numId="26" w16cid:durableId="1477599406">
    <w:abstractNumId w:val="32"/>
  </w:num>
  <w:num w:numId="27" w16cid:durableId="1859543024">
    <w:abstractNumId w:val="21"/>
  </w:num>
  <w:num w:numId="28" w16cid:durableId="1227109776">
    <w:abstractNumId w:val="15"/>
  </w:num>
  <w:num w:numId="29" w16cid:durableId="977300793">
    <w:abstractNumId w:val="33"/>
  </w:num>
  <w:num w:numId="30" w16cid:durableId="1214386673">
    <w:abstractNumId w:val="13"/>
  </w:num>
  <w:num w:numId="31" w16cid:durableId="494688807">
    <w:abstractNumId w:val="3"/>
  </w:num>
  <w:num w:numId="32" w16cid:durableId="619796936">
    <w:abstractNumId w:val="22"/>
  </w:num>
  <w:num w:numId="33" w16cid:durableId="1491290759">
    <w:abstractNumId w:val="0"/>
  </w:num>
  <w:num w:numId="34" w16cid:durableId="1416364268">
    <w:abstractNumId w:val="4"/>
  </w:num>
  <w:num w:numId="35" w16cid:durableId="1477721286">
    <w:abstractNumId w:val="24"/>
  </w:num>
  <w:num w:numId="36" w16cid:durableId="1867449043">
    <w:abstractNumId w:val="40"/>
  </w:num>
  <w:num w:numId="37" w16cid:durableId="68701167">
    <w:abstractNumId w:val="28"/>
  </w:num>
  <w:num w:numId="38" w16cid:durableId="38828089">
    <w:abstractNumId w:val="38"/>
  </w:num>
  <w:num w:numId="39" w16cid:durableId="866215640">
    <w:abstractNumId w:val="23"/>
  </w:num>
  <w:num w:numId="40" w16cid:durableId="16633878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934211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97"/>
    <w:rsid w:val="00004373"/>
    <w:rsid w:val="000043E4"/>
    <w:rsid w:val="00005999"/>
    <w:rsid w:val="000223D0"/>
    <w:rsid w:val="000254F1"/>
    <w:rsid w:val="00027EB4"/>
    <w:rsid w:val="000306D3"/>
    <w:rsid w:val="00033297"/>
    <w:rsid w:val="0003521C"/>
    <w:rsid w:val="000417FC"/>
    <w:rsid w:val="0004508C"/>
    <w:rsid w:val="0004785B"/>
    <w:rsid w:val="00047B00"/>
    <w:rsid w:val="000552F4"/>
    <w:rsid w:val="00057185"/>
    <w:rsid w:val="00062A78"/>
    <w:rsid w:val="00066970"/>
    <w:rsid w:val="000703D1"/>
    <w:rsid w:val="00080ACA"/>
    <w:rsid w:val="0008360A"/>
    <w:rsid w:val="0008678C"/>
    <w:rsid w:val="000B2631"/>
    <w:rsid w:val="000B380E"/>
    <w:rsid w:val="000B6229"/>
    <w:rsid w:val="000C0B2C"/>
    <w:rsid w:val="000C72DB"/>
    <w:rsid w:val="000D29BD"/>
    <w:rsid w:val="000E62FA"/>
    <w:rsid w:val="000E71C5"/>
    <w:rsid w:val="000F6F84"/>
    <w:rsid w:val="0010755D"/>
    <w:rsid w:val="00114804"/>
    <w:rsid w:val="00115DFD"/>
    <w:rsid w:val="00121A18"/>
    <w:rsid w:val="00121F74"/>
    <w:rsid w:val="00122B3A"/>
    <w:rsid w:val="00124B01"/>
    <w:rsid w:val="001311CB"/>
    <w:rsid w:val="00151732"/>
    <w:rsid w:val="001565EB"/>
    <w:rsid w:val="0016115E"/>
    <w:rsid w:val="00161592"/>
    <w:rsid w:val="001639CB"/>
    <w:rsid w:val="00172FAC"/>
    <w:rsid w:val="00177A51"/>
    <w:rsid w:val="00181D62"/>
    <w:rsid w:val="00185A43"/>
    <w:rsid w:val="00196B95"/>
    <w:rsid w:val="001A1867"/>
    <w:rsid w:val="001B1D76"/>
    <w:rsid w:val="001B1FC3"/>
    <w:rsid w:val="001B353E"/>
    <w:rsid w:val="001C1B96"/>
    <w:rsid w:val="001C7747"/>
    <w:rsid w:val="001D6B07"/>
    <w:rsid w:val="001E0CE8"/>
    <w:rsid w:val="001E1D12"/>
    <w:rsid w:val="001E6520"/>
    <w:rsid w:val="002070F4"/>
    <w:rsid w:val="00207CCF"/>
    <w:rsid w:val="0021151C"/>
    <w:rsid w:val="00214744"/>
    <w:rsid w:val="00217AF6"/>
    <w:rsid w:val="002234AA"/>
    <w:rsid w:val="00226D40"/>
    <w:rsid w:val="0024439C"/>
    <w:rsid w:val="00251391"/>
    <w:rsid w:val="002535B1"/>
    <w:rsid w:val="00254E85"/>
    <w:rsid w:val="0025519D"/>
    <w:rsid w:val="00262CF5"/>
    <w:rsid w:val="00264CB2"/>
    <w:rsid w:val="002823A3"/>
    <w:rsid w:val="002900C9"/>
    <w:rsid w:val="002941BB"/>
    <w:rsid w:val="002A0665"/>
    <w:rsid w:val="002A1886"/>
    <w:rsid w:val="002A3F94"/>
    <w:rsid w:val="002B2F6F"/>
    <w:rsid w:val="002B5290"/>
    <w:rsid w:val="002B6C00"/>
    <w:rsid w:val="002B7FD9"/>
    <w:rsid w:val="002C34D1"/>
    <w:rsid w:val="002C7315"/>
    <w:rsid w:val="002D070A"/>
    <w:rsid w:val="002D1773"/>
    <w:rsid w:val="002D225F"/>
    <w:rsid w:val="002D2D9D"/>
    <w:rsid w:val="002D3382"/>
    <w:rsid w:val="002E1D90"/>
    <w:rsid w:val="002E2813"/>
    <w:rsid w:val="002F41C7"/>
    <w:rsid w:val="003021AB"/>
    <w:rsid w:val="003027A7"/>
    <w:rsid w:val="00304D06"/>
    <w:rsid w:val="00307062"/>
    <w:rsid w:val="003140BD"/>
    <w:rsid w:val="00325A06"/>
    <w:rsid w:val="00336377"/>
    <w:rsid w:val="00341432"/>
    <w:rsid w:val="00346319"/>
    <w:rsid w:val="00346410"/>
    <w:rsid w:val="003531EA"/>
    <w:rsid w:val="00356341"/>
    <w:rsid w:val="0035786B"/>
    <w:rsid w:val="00357F5C"/>
    <w:rsid w:val="00366B30"/>
    <w:rsid w:val="00371631"/>
    <w:rsid w:val="00380874"/>
    <w:rsid w:val="00391538"/>
    <w:rsid w:val="003954F8"/>
    <w:rsid w:val="003A0D03"/>
    <w:rsid w:val="003A3645"/>
    <w:rsid w:val="003B15F3"/>
    <w:rsid w:val="003B4E50"/>
    <w:rsid w:val="003C3D85"/>
    <w:rsid w:val="003D1EDB"/>
    <w:rsid w:val="003E2992"/>
    <w:rsid w:val="003E5765"/>
    <w:rsid w:val="003F31EB"/>
    <w:rsid w:val="003F7FC2"/>
    <w:rsid w:val="004001D1"/>
    <w:rsid w:val="00405020"/>
    <w:rsid w:val="00406BDF"/>
    <w:rsid w:val="00412059"/>
    <w:rsid w:val="00417902"/>
    <w:rsid w:val="004279CC"/>
    <w:rsid w:val="00427F6D"/>
    <w:rsid w:val="004314C9"/>
    <w:rsid w:val="00432F59"/>
    <w:rsid w:val="00433457"/>
    <w:rsid w:val="0043429D"/>
    <w:rsid w:val="004354CF"/>
    <w:rsid w:val="00435A88"/>
    <w:rsid w:val="00437100"/>
    <w:rsid w:val="004446DE"/>
    <w:rsid w:val="0044648E"/>
    <w:rsid w:val="0045255A"/>
    <w:rsid w:val="0045466E"/>
    <w:rsid w:val="00462397"/>
    <w:rsid w:val="00462AE2"/>
    <w:rsid w:val="00473E28"/>
    <w:rsid w:val="00481B65"/>
    <w:rsid w:val="00490A1A"/>
    <w:rsid w:val="00491376"/>
    <w:rsid w:val="00495210"/>
    <w:rsid w:val="00496B2E"/>
    <w:rsid w:val="004A203E"/>
    <w:rsid w:val="004B1B1A"/>
    <w:rsid w:val="004C0992"/>
    <w:rsid w:val="004C0AE1"/>
    <w:rsid w:val="004C37DC"/>
    <w:rsid w:val="004C3F38"/>
    <w:rsid w:val="004C4661"/>
    <w:rsid w:val="004D5DCA"/>
    <w:rsid w:val="004D7BCE"/>
    <w:rsid w:val="004D7FED"/>
    <w:rsid w:val="004E0727"/>
    <w:rsid w:val="004E25B0"/>
    <w:rsid w:val="004E4C77"/>
    <w:rsid w:val="004E65E9"/>
    <w:rsid w:val="004F3E06"/>
    <w:rsid w:val="00511D77"/>
    <w:rsid w:val="00513063"/>
    <w:rsid w:val="005203F3"/>
    <w:rsid w:val="00533849"/>
    <w:rsid w:val="0053616F"/>
    <w:rsid w:val="00537268"/>
    <w:rsid w:val="00540AA3"/>
    <w:rsid w:val="00545C88"/>
    <w:rsid w:val="00553214"/>
    <w:rsid w:val="0055676D"/>
    <w:rsid w:val="00557905"/>
    <w:rsid w:val="00564CBE"/>
    <w:rsid w:val="00571A5C"/>
    <w:rsid w:val="00573B96"/>
    <w:rsid w:val="00574D1C"/>
    <w:rsid w:val="0057561B"/>
    <w:rsid w:val="005850E6"/>
    <w:rsid w:val="005938A1"/>
    <w:rsid w:val="005966C0"/>
    <w:rsid w:val="005A2394"/>
    <w:rsid w:val="005A6057"/>
    <w:rsid w:val="005B1C03"/>
    <w:rsid w:val="005B1D48"/>
    <w:rsid w:val="005B3519"/>
    <w:rsid w:val="005B5242"/>
    <w:rsid w:val="005B77AC"/>
    <w:rsid w:val="005C0F7B"/>
    <w:rsid w:val="005C1C0D"/>
    <w:rsid w:val="005C26AE"/>
    <w:rsid w:val="005C5FDD"/>
    <w:rsid w:val="005C7478"/>
    <w:rsid w:val="005C7DFC"/>
    <w:rsid w:val="005E222D"/>
    <w:rsid w:val="005E2FF1"/>
    <w:rsid w:val="005E4A04"/>
    <w:rsid w:val="005F6AF5"/>
    <w:rsid w:val="006069D0"/>
    <w:rsid w:val="0061094B"/>
    <w:rsid w:val="00612144"/>
    <w:rsid w:val="006124C5"/>
    <w:rsid w:val="006158B0"/>
    <w:rsid w:val="00616519"/>
    <w:rsid w:val="00616F9A"/>
    <w:rsid w:val="00620808"/>
    <w:rsid w:val="00635031"/>
    <w:rsid w:val="0063587F"/>
    <w:rsid w:val="00641D51"/>
    <w:rsid w:val="0064756F"/>
    <w:rsid w:val="006506A1"/>
    <w:rsid w:val="00650908"/>
    <w:rsid w:val="006535B1"/>
    <w:rsid w:val="00654D5A"/>
    <w:rsid w:val="0065555C"/>
    <w:rsid w:val="00665221"/>
    <w:rsid w:val="00671722"/>
    <w:rsid w:val="006902C8"/>
    <w:rsid w:val="006A7D76"/>
    <w:rsid w:val="006C45E1"/>
    <w:rsid w:val="006D26D9"/>
    <w:rsid w:val="006D2C71"/>
    <w:rsid w:val="006E29F5"/>
    <w:rsid w:val="006E6857"/>
    <w:rsid w:val="006E7249"/>
    <w:rsid w:val="006F1D31"/>
    <w:rsid w:val="006F2250"/>
    <w:rsid w:val="006F34E5"/>
    <w:rsid w:val="0070284A"/>
    <w:rsid w:val="007056C4"/>
    <w:rsid w:val="00706B37"/>
    <w:rsid w:val="007073A3"/>
    <w:rsid w:val="00723849"/>
    <w:rsid w:val="00727F64"/>
    <w:rsid w:val="0073520E"/>
    <w:rsid w:val="007362E9"/>
    <w:rsid w:val="007441BA"/>
    <w:rsid w:val="007527D2"/>
    <w:rsid w:val="00756F55"/>
    <w:rsid w:val="00760C06"/>
    <w:rsid w:val="00764F91"/>
    <w:rsid w:val="00766FDD"/>
    <w:rsid w:val="00771066"/>
    <w:rsid w:val="00773162"/>
    <w:rsid w:val="00776359"/>
    <w:rsid w:val="00782A1B"/>
    <w:rsid w:val="00783114"/>
    <w:rsid w:val="00785DE8"/>
    <w:rsid w:val="00791CBB"/>
    <w:rsid w:val="00793AFC"/>
    <w:rsid w:val="007946B9"/>
    <w:rsid w:val="00796BF8"/>
    <w:rsid w:val="00797454"/>
    <w:rsid w:val="007A5295"/>
    <w:rsid w:val="007A55E8"/>
    <w:rsid w:val="007A733B"/>
    <w:rsid w:val="007B1001"/>
    <w:rsid w:val="007B1C8E"/>
    <w:rsid w:val="007B2CF1"/>
    <w:rsid w:val="007B35C7"/>
    <w:rsid w:val="007C2382"/>
    <w:rsid w:val="007C5503"/>
    <w:rsid w:val="007D3ACA"/>
    <w:rsid w:val="007D3F46"/>
    <w:rsid w:val="007D443A"/>
    <w:rsid w:val="007D6C29"/>
    <w:rsid w:val="007E3336"/>
    <w:rsid w:val="007E4848"/>
    <w:rsid w:val="007E4931"/>
    <w:rsid w:val="007E4A2E"/>
    <w:rsid w:val="007E6E34"/>
    <w:rsid w:val="007F0D97"/>
    <w:rsid w:val="008026EA"/>
    <w:rsid w:val="00805F53"/>
    <w:rsid w:val="00814A73"/>
    <w:rsid w:val="00822E6B"/>
    <w:rsid w:val="00823591"/>
    <w:rsid w:val="00826762"/>
    <w:rsid w:val="0083079B"/>
    <w:rsid w:val="00842C8A"/>
    <w:rsid w:val="00846D25"/>
    <w:rsid w:val="0085276B"/>
    <w:rsid w:val="0086022C"/>
    <w:rsid w:val="00861CE3"/>
    <w:rsid w:val="0086643B"/>
    <w:rsid w:val="00871E6B"/>
    <w:rsid w:val="008768F7"/>
    <w:rsid w:val="0088225F"/>
    <w:rsid w:val="00890CCA"/>
    <w:rsid w:val="00891C37"/>
    <w:rsid w:val="008976D5"/>
    <w:rsid w:val="008A00DA"/>
    <w:rsid w:val="008A4042"/>
    <w:rsid w:val="008A5C02"/>
    <w:rsid w:val="008A697B"/>
    <w:rsid w:val="008A7407"/>
    <w:rsid w:val="008B0C2D"/>
    <w:rsid w:val="008B3570"/>
    <w:rsid w:val="008C032D"/>
    <w:rsid w:val="008C1052"/>
    <w:rsid w:val="008C2CC0"/>
    <w:rsid w:val="008C50CE"/>
    <w:rsid w:val="008C5A74"/>
    <w:rsid w:val="008D04BE"/>
    <w:rsid w:val="008D2C8E"/>
    <w:rsid w:val="008D5882"/>
    <w:rsid w:val="008E1589"/>
    <w:rsid w:val="008E4865"/>
    <w:rsid w:val="008F1F9C"/>
    <w:rsid w:val="008F7F1A"/>
    <w:rsid w:val="00900A9F"/>
    <w:rsid w:val="0091023B"/>
    <w:rsid w:val="00913483"/>
    <w:rsid w:val="00921A50"/>
    <w:rsid w:val="00937F30"/>
    <w:rsid w:val="0094042B"/>
    <w:rsid w:val="0094642E"/>
    <w:rsid w:val="0095548D"/>
    <w:rsid w:val="0095697C"/>
    <w:rsid w:val="00957120"/>
    <w:rsid w:val="00966EFC"/>
    <w:rsid w:val="009760B5"/>
    <w:rsid w:val="00982871"/>
    <w:rsid w:val="00994C07"/>
    <w:rsid w:val="0099618A"/>
    <w:rsid w:val="009A1C74"/>
    <w:rsid w:val="009A6A90"/>
    <w:rsid w:val="009B0854"/>
    <w:rsid w:val="009B2652"/>
    <w:rsid w:val="009C3E1C"/>
    <w:rsid w:val="009D36AD"/>
    <w:rsid w:val="009D58A8"/>
    <w:rsid w:val="009D63C6"/>
    <w:rsid w:val="009F63C2"/>
    <w:rsid w:val="009F7470"/>
    <w:rsid w:val="00A04A2E"/>
    <w:rsid w:val="00A21166"/>
    <w:rsid w:val="00A22F89"/>
    <w:rsid w:val="00A2540F"/>
    <w:rsid w:val="00A3093C"/>
    <w:rsid w:val="00A3148D"/>
    <w:rsid w:val="00A36B83"/>
    <w:rsid w:val="00A443A2"/>
    <w:rsid w:val="00A44749"/>
    <w:rsid w:val="00A45277"/>
    <w:rsid w:val="00A6467B"/>
    <w:rsid w:val="00A64805"/>
    <w:rsid w:val="00A774B2"/>
    <w:rsid w:val="00A8349C"/>
    <w:rsid w:val="00A84A46"/>
    <w:rsid w:val="00A907DB"/>
    <w:rsid w:val="00A9101D"/>
    <w:rsid w:val="00A93759"/>
    <w:rsid w:val="00AA0BE1"/>
    <w:rsid w:val="00AA1BF9"/>
    <w:rsid w:val="00AB04AF"/>
    <w:rsid w:val="00AB3BE9"/>
    <w:rsid w:val="00AB5822"/>
    <w:rsid w:val="00AC267D"/>
    <w:rsid w:val="00AD5100"/>
    <w:rsid w:val="00AD5D2C"/>
    <w:rsid w:val="00AE01FC"/>
    <w:rsid w:val="00AE26A8"/>
    <w:rsid w:val="00AE2896"/>
    <w:rsid w:val="00AF2E9C"/>
    <w:rsid w:val="00AF2F5F"/>
    <w:rsid w:val="00B17040"/>
    <w:rsid w:val="00B20C42"/>
    <w:rsid w:val="00B26ACB"/>
    <w:rsid w:val="00B34D39"/>
    <w:rsid w:val="00B363E0"/>
    <w:rsid w:val="00B377E8"/>
    <w:rsid w:val="00B40158"/>
    <w:rsid w:val="00B41E51"/>
    <w:rsid w:val="00B42469"/>
    <w:rsid w:val="00B559AA"/>
    <w:rsid w:val="00B703CF"/>
    <w:rsid w:val="00B710F3"/>
    <w:rsid w:val="00B83C4E"/>
    <w:rsid w:val="00B96721"/>
    <w:rsid w:val="00BA69A4"/>
    <w:rsid w:val="00BA7A09"/>
    <w:rsid w:val="00BB0F2C"/>
    <w:rsid w:val="00BB525D"/>
    <w:rsid w:val="00BC1F7A"/>
    <w:rsid w:val="00BC72D5"/>
    <w:rsid w:val="00BD297B"/>
    <w:rsid w:val="00BD3005"/>
    <w:rsid w:val="00BF7409"/>
    <w:rsid w:val="00C01BCB"/>
    <w:rsid w:val="00C04150"/>
    <w:rsid w:val="00C12627"/>
    <w:rsid w:val="00C202FC"/>
    <w:rsid w:val="00C318DB"/>
    <w:rsid w:val="00C4640F"/>
    <w:rsid w:val="00C5602C"/>
    <w:rsid w:val="00C57FB6"/>
    <w:rsid w:val="00C672A6"/>
    <w:rsid w:val="00C722D6"/>
    <w:rsid w:val="00C74295"/>
    <w:rsid w:val="00C767A0"/>
    <w:rsid w:val="00C76897"/>
    <w:rsid w:val="00C857F6"/>
    <w:rsid w:val="00C96A7A"/>
    <w:rsid w:val="00CB1CD0"/>
    <w:rsid w:val="00CB7F5A"/>
    <w:rsid w:val="00CC1B82"/>
    <w:rsid w:val="00CC50DB"/>
    <w:rsid w:val="00CD35BF"/>
    <w:rsid w:val="00CE548A"/>
    <w:rsid w:val="00CF6F2E"/>
    <w:rsid w:val="00D0790D"/>
    <w:rsid w:val="00D15AFF"/>
    <w:rsid w:val="00D15D38"/>
    <w:rsid w:val="00D16039"/>
    <w:rsid w:val="00D165B0"/>
    <w:rsid w:val="00D22163"/>
    <w:rsid w:val="00D24A1B"/>
    <w:rsid w:val="00D268E7"/>
    <w:rsid w:val="00D4288B"/>
    <w:rsid w:val="00D51001"/>
    <w:rsid w:val="00D61C4A"/>
    <w:rsid w:val="00D6542F"/>
    <w:rsid w:val="00D67FDC"/>
    <w:rsid w:val="00D74CC8"/>
    <w:rsid w:val="00D75D30"/>
    <w:rsid w:val="00D82C5B"/>
    <w:rsid w:val="00D83C13"/>
    <w:rsid w:val="00D912D4"/>
    <w:rsid w:val="00D935EE"/>
    <w:rsid w:val="00DB6200"/>
    <w:rsid w:val="00DC1520"/>
    <w:rsid w:val="00DC76F1"/>
    <w:rsid w:val="00DD3E2D"/>
    <w:rsid w:val="00DD5FD0"/>
    <w:rsid w:val="00DE6701"/>
    <w:rsid w:val="00DF16B9"/>
    <w:rsid w:val="00DF465F"/>
    <w:rsid w:val="00DF5B0A"/>
    <w:rsid w:val="00DF72A3"/>
    <w:rsid w:val="00E02D83"/>
    <w:rsid w:val="00E132F8"/>
    <w:rsid w:val="00E14D74"/>
    <w:rsid w:val="00E1788A"/>
    <w:rsid w:val="00E206B2"/>
    <w:rsid w:val="00E24384"/>
    <w:rsid w:val="00E351D6"/>
    <w:rsid w:val="00E40633"/>
    <w:rsid w:val="00E45BB5"/>
    <w:rsid w:val="00E7232D"/>
    <w:rsid w:val="00E7729F"/>
    <w:rsid w:val="00E84341"/>
    <w:rsid w:val="00E87F38"/>
    <w:rsid w:val="00E9007A"/>
    <w:rsid w:val="00EA03A3"/>
    <w:rsid w:val="00EB50BF"/>
    <w:rsid w:val="00EB6562"/>
    <w:rsid w:val="00EC3BE1"/>
    <w:rsid w:val="00EC53BD"/>
    <w:rsid w:val="00ED4F13"/>
    <w:rsid w:val="00EE036F"/>
    <w:rsid w:val="00EE0E12"/>
    <w:rsid w:val="00EE53CD"/>
    <w:rsid w:val="00EE78D9"/>
    <w:rsid w:val="00EF370B"/>
    <w:rsid w:val="00F00546"/>
    <w:rsid w:val="00F032C0"/>
    <w:rsid w:val="00F10BDD"/>
    <w:rsid w:val="00F24A30"/>
    <w:rsid w:val="00F25C78"/>
    <w:rsid w:val="00F333FC"/>
    <w:rsid w:val="00F40686"/>
    <w:rsid w:val="00F4375A"/>
    <w:rsid w:val="00F50270"/>
    <w:rsid w:val="00F56C88"/>
    <w:rsid w:val="00F66A2A"/>
    <w:rsid w:val="00F72E74"/>
    <w:rsid w:val="00F76FE1"/>
    <w:rsid w:val="00F84CEF"/>
    <w:rsid w:val="00F8540D"/>
    <w:rsid w:val="00F95395"/>
    <w:rsid w:val="00FA31E3"/>
    <w:rsid w:val="00FB598A"/>
    <w:rsid w:val="00FB5EF2"/>
    <w:rsid w:val="00FC78AA"/>
    <w:rsid w:val="00FD23B2"/>
    <w:rsid w:val="00FD335D"/>
    <w:rsid w:val="00FD5C79"/>
    <w:rsid w:val="7C9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8E897"/>
  <w15:chartTrackingRefBased/>
  <w15:docId w15:val="{9B1C9A5F-D205-4003-804C-841F0270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97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97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397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97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97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57120"/>
    <w:pPr>
      <w:spacing w:after="0"/>
      <w:contextualSpacing/>
    </w:pPr>
    <w:rPr>
      <w:rFonts w:ascii="Calibri" w:eastAsiaTheme="majorEastAsia" w:hAnsi="Calibri" w:cstheme="majorBidi"/>
      <w:b/>
      <w:color w:val="538135" w:themeColor="accent6" w:themeShade="BF"/>
      <w:spacing w:val="-10"/>
      <w:kern w:val="28"/>
      <w:sz w:val="4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7120"/>
    <w:rPr>
      <w:rFonts w:ascii="Calibri" w:eastAsiaTheme="majorEastAsia" w:hAnsi="Calibri" w:cstheme="majorBidi"/>
      <w:b/>
      <w:color w:val="538135" w:themeColor="accent6" w:themeShade="BF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46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42"/>
    <w:rPr>
      <w:rFonts w:eastAsiaTheme="minorEastAsia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B5EF2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E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D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F1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F1D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F1D3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F1D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1D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1D31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D9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19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19D"/>
    <w:rPr>
      <w:vertAlign w:val="superscript"/>
    </w:rPr>
  </w:style>
  <w:style w:type="paragraph" w:customStyle="1" w:styleId="Default">
    <w:name w:val="Default"/>
    <w:rsid w:val="00826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3E1C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5D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B2C"/>
    <w:rPr>
      <w:color w:val="605E5C"/>
      <w:shd w:val="clear" w:color="auto" w:fill="E1DFDD"/>
    </w:rPr>
  </w:style>
  <w:style w:type="character" w:customStyle="1" w:styleId="MCnumberedparaChar">
    <w:name w:val="MC numbered para Char"/>
    <w:basedOn w:val="DefaultParagraphFont"/>
    <w:link w:val="MCnumberedpara"/>
    <w:locked/>
    <w:rsid w:val="00F10BDD"/>
    <w:rPr>
      <w:rFonts w:ascii="Calibri" w:hAnsi="Calibri" w:cs="Calibri"/>
    </w:rPr>
  </w:style>
  <w:style w:type="paragraph" w:customStyle="1" w:styleId="MCnumberedpara">
    <w:name w:val="MC numbered para"/>
    <w:basedOn w:val="Normal"/>
    <w:link w:val="MCnumberedparaChar"/>
    <w:rsid w:val="00F10BDD"/>
    <w:pPr>
      <w:numPr>
        <w:numId w:val="2"/>
      </w:numPr>
      <w:spacing w:before="190" w:after="190" w:line="240" w:lineRule="auto"/>
      <w:jc w:val="both"/>
    </w:pPr>
    <w:rPr>
      <w:rFonts w:ascii="Calibri" w:eastAsiaTheme="minorHAnsi" w:hAnsi="Calibri" w:cs="Calibri"/>
      <w:lang w:eastAsia="en-US"/>
    </w:rPr>
  </w:style>
  <w:style w:type="paragraph" w:styleId="Revision">
    <w:name w:val="Revision"/>
    <w:hidden/>
    <w:uiPriority w:val="99"/>
    <w:semiHidden/>
    <w:rsid w:val="004A203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conduct@stir.ac.uk" TargetMode="External"/><Relationship Id="rId18" Type="http://schemas.openxmlformats.org/officeDocument/2006/relationships/hyperlink" Target="mailto:studentconduct@stir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stir.ac.uk/privacy" TargetMode="External"/><Relationship Id="rId17" Type="http://schemas.openxmlformats.org/officeDocument/2006/relationships/hyperlink" Target="mailto:appeals@stir.ac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cro.org.uk/nacro-services/advice/advice-for-individuals/applying-for-university-and-school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gov.scot/pvg-scheme?via=https://www.disclosurescotland.co.uk/disclosureinformation/pvgscheme.htm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cas.org.uk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tir.ac.uk/about/professional-services/student-academic-and-corporate-services/policy-and-planning/university-calendar/ordinan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organisations/disclosure-scotlan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_Flow_SignoffStatus xmlns="8dcad7d7-d287-47c9-a126-0f5ce902e32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9" ma:contentTypeDescription="Create a new document." ma:contentTypeScope="" ma:versionID="7d3d2fdf03fa79fb24472ebffbb434f7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842b042e043c6c429fe6ca2e50246dbc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bc7587-dc45-4978-8e2c-e5ed90ab4ddd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550C-74A4-43E3-9BAE-71D87B5637BC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E6F8E7D2-406A-46FD-865A-1F23FDC11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F97C6-135C-4E97-A54C-FB08C68BC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d7d7-d287-47c9-a126-0f5ce902e32e"/>
    <ds:schemaRef ds:uri="61453b0b-e893-41b5-af7c-8a766d621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5915EE-75A8-4E15-A5BC-36404A57983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13327</CharactersWithSpaces>
  <SharedDoc>false</SharedDoc>
  <HLinks>
    <vt:vector size="114" baseType="variant">
      <vt:variant>
        <vt:i4>6684711</vt:i4>
      </vt:variant>
      <vt:variant>
        <vt:i4>87</vt:i4>
      </vt:variant>
      <vt:variant>
        <vt:i4>0</vt:i4>
      </vt:variant>
      <vt:variant>
        <vt:i4>5</vt:i4>
      </vt:variant>
      <vt:variant>
        <vt:lpwstr>https://www.stir.ac.uk/about/professional-services/student-academic-and-corporate-services/policy-and-planning/university-calendar/ordinances/</vt:lpwstr>
      </vt:variant>
      <vt:variant>
        <vt:lpwstr/>
      </vt:variant>
      <vt:variant>
        <vt:i4>8323098</vt:i4>
      </vt:variant>
      <vt:variant>
        <vt:i4>84</vt:i4>
      </vt:variant>
      <vt:variant>
        <vt:i4>0</vt:i4>
      </vt:variant>
      <vt:variant>
        <vt:i4>5</vt:i4>
      </vt:variant>
      <vt:variant>
        <vt:lpwstr>mailto:studentconduct@stir.ac.uk</vt:lpwstr>
      </vt:variant>
      <vt:variant>
        <vt:lpwstr/>
      </vt:variant>
      <vt:variant>
        <vt:i4>4390970</vt:i4>
      </vt:variant>
      <vt:variant>
        <vt:i4>81</vt:i4>
      </vt:variant>
      <vt:variant>
        <vt:i4>0</vt:i4>
      </vt:variant>
      <vt:variant>
        <vt:i4>5</vt:i4>
      </vt:variant>
      <vt:variant>
        <vt:lpwstr>mailto:appeals@stir.ac.uk</vt:lpwstr>
      </vt:variant>
      <vt:variant>
        <vt:lpwstr/>
      </vt:variant>
      <vt:variant>
        <vt:i4>7340150</vt:i4>
      </vt:variant>
      <vt:variant>
        <vt:i4>78</vt:i4>
      </vt:variant>
      <vt:variant>
        <vt:i4>0</vt:i4>
      </vt:variant>
      <vt:variant>
        <vt:i4>5</vt:i4>
      </vt:variant>
      <vt:variant>
        <vt:lpwstr>https://www.nacro.org.uk/nacro-services/advice/advice-for-individuals/applying-for-university-and-schools/</vt:lpwstr>
      </vt:variant>
      <vt:variant>
        <vt:lpwstr/>
      </vt:variant>
      <vt:variant>
        <vt:i4>3145773</vt:i4>
      </vt:variant>
      <vt:variant>
        <vt:i4>75</vt:i4>
      </vt:variant>
      <vt:variant>
        <vt:i4>0</vt:i4>
      </vt:variant>
      <vt:variant>
        <vt:i4>5</vt:i4>
      </vt:variant>
      <vt:variant>
        <vt:lpwstr>https://www.cas.org.uk/</vt:lpwstr>
      </vt:variant>
      <vt:variant>
        <vt:lpwstr/>
      </vt:variant>
      <vt:variant>
        <vt:i4>6226007</vt:i4>
      </vt:variant>
      <vt:variant>
        <vt:i4>72</vt:i4>
      </vt:variant>
      <vt:variant>
        <vt:i4>0</vt:i4>
      </vt:variant>
      <vt:variant>
        <vt:i4>5</vt:i4>
      </vt:variant>
      <vt:variant>
        <vt:lpwstr>https://www.mygov.scot/organisations/disclosure-scotland</vt:lpwstr>
      </vt:variant>
      <vt:variant>
        <vt:lpwstr/>
      </vt:variant>
      <vt:variant>
        <vt:i4>8323098</vt:i4>
      </vt:variant>
      <vt:variant>
        <vt:i4>69</vt:i4>
      </vt:variant>
      <vt:variant>
        <vt:i4>0</vt:i4>
      </vt:variant>
      <vt:variant>
        <vt:i4>5</vt:i4>
      </vt:variant>
      <vt:variant>
        <vt:lpwstr>mailto:studentconduct@stir.ac.uk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http://www.stir.ac.uk/privacy</vt:lpwstr>
      </vt:variant>
      <vt:variant>
        <vt:lpwstr/>
      </vt:variant>
      <vt:variant>
        <vt:i4>7602280</vt:i4>
      </vt:variant>
      <vt:variant>
        <vt:i4>63</vt:i4>
      </vt:variant>
      <vt:variant>
        <vt:i4>0</vt:i4>
      </vt:variant>
      <vt:variant>
        <vt:i4>5</vt:i4>
      </vt:variant>
      <vt:variant>
        <vt:lpwstr>https://www.mygov.scot/pvg-scheme?via=https://www.disclosurescotland.co.uk/disclosureinformation/pvgscheme.htm</vt:lpwstr>
      </vt:variant>
      <vt:variant>
        <vt:lpwstr/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_Toc137476775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_Toc137476774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_Toc137476773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_Toc137476772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_Toc137476771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_Toc137476770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_Toc137476769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_Toc137476768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_Toc137476767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_Toc137476766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Beveridge</dc:creator>
  <cp:keywords/>
  <dc:description/>
  <cp:lastModifiedBy>Iona Beveridge</cp:lastModifiedBy>
  <cp:revision>4</cp:revision>
  <dcterms:created xsi:type="dcterms:W3CDTF">2023-07-26T16:06:00Z</dcterms:created>
  <dcterms:modified xsi:type="dcterms:W3CDTF">2023-07-26T16:18:00Z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